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9A" w:rsidRPr="00B651BF" w:rsidRDefault="00895A2F" w:rsidP="00265A02">
      <w:pPr>
        <w:tabs>
          <w:tab w:val="left" w:pos="3780"/>
        </w:tabs>
        <w:jc w:val="center"/>
        <w:rPr>
          <w:b/>
          <w:sz w:val="28"/>
          <w:szCs w:val="28"/>
        </w:rPr>
      </w:pPr>
      <w:bookmarkStart w:id="0" w:name="_GoBack"/>
      <w:bookmarkEnd w:id="0"/>
      <w:r w:rsidRPr="00B651BF">
        <w:rPr>
          <w:b/>
          <w:sz w:val="28"/>
          <w:szCs w:val="28"/>
        </w:rPr>
        <w:t>The Craft of History</w:t>
      </w:r>
      <w:r w:rsidR="0001729A" w:rsidRPr="00B651BF">
        <w:rPr>
          <w:b/>
          <w:sz w:val="28"/>
          <w:szCs w:val="28"/>
        </w:rPr>
        <w:t xml:space="preserve"> </w:t>
      </w:r>
    </w:p>
    <w:p w:rsidR="00895A2F" w:rsidRDefault="00895A2F" w:rsidP="0001729A">
      <w:pPr>
        <w:jc w:val="center"/>
        <w:rPr>
          <w:b/>
        </w:rPr>
      </w:pPr>
      <w:r>
        <w:rPr>
          <w:b/>
        </w:rPr>
        <w:t>510-550</w:t>
      </w:r>
    </w:p>
    <w:p w:rsidR="0001729A" w:rsidRDefault="003D67A9" w:rsidP="00895A2F">
      <w:pPr>
        <w:jc w:val="center"/>
        <w:rPr>
          <w:b/>
        </w:rPr>
      </w:pPr>
      <w:r>
        <w:rPr>
          <w:b/>
        </w:rPr>
        <w:t>Fall 2016</w:t>
      </w:r>
    </w:p>
    <w:p w:rsidR="00895A2F" w:rsidRDefault="005A37C1" w:rsidP="00895A2F">
      <w:pPr>
        <w:jc w:val="center"/>
        <w:rPr>
          <w:b/>
        </w:rPr>
      </w:pPr>
      <w:r>
        <w:rPr>
          <w:b/>
        </w:rPr>
        <w:t>Tuesdays 6-8</w:t>
      </w:r>
      <w:r w:rsidR="0001729A">
        <w:rPr>
          <w:b/>
        </w:rPr>
        <w:t>:40</w:t>
      </w:r>
    </w:p>
    <w:p w:rsidR="00B651BF" w:rsidRDefault="00B651BF" w:rsidP="00895A2F">
      <w:pPr>
        <w:jc w:val="center"/>
        <w:rPr>
          <w:b/>
        </w:rPr>
      </w:pPr>
      <w:r>
        <w:rPr>
          <w:b/>
        </w:rPr>
        <w:t>429 Cooper Street, seminar room</w:t>
      </w:r>
    </w:p>
    <w:p w:rsidR="00895A2F" w:rsidRDefault="00895A2F">
      <w:pPr>
        <w:rPr>
          <w:b/>
        </w:rPr>
      </w:pPr>
    </w:p>
    <w:p w:rsidR="00DB6773" w:rsidRDefault="00DB6773">
      <w:pPr>
        <w:rPr>
          <w:b/>
        </w:rPr>
      </w:pPr>
    </w:p>
    <w:p w:rsidR="00895A2F" w:rsidRDefault="00895A2F">
      <w:pPr>
        <w:rPr>
          <w:b/>
        </w:rPr>
      </w:pPr>
      <w:r>
        <w:rPr>
          <w:b/>
        </w:rPr>
        <w:t xml:space="preserve">Dr. </w:t>
      </w:r>
      <w:r w:rsidR="0041386C">
        <w:rPr>
          <w:b/>
        </w:rPr>
        <w:t>Lorrin Thomas</w:t>
      </w:r>
      <w:r w:rsidR="009A519D">
        <w:rPr>
          <w:b/>
        </w:rPr>
        <w:tab/>
      </w:r>
      <w:r w:rsidR="009A519D">
        <w:rPr>
          <w:b/>
        </w:rPr>
        <w:tab/>
      </w:r>
      <w:r w:rsidR="009A519D">
        <w:rPr>
          <w:b/>
        </w:rPr>
        <w:tab/>
      </w:r>
      <w:r w:rsidR="009A519D">
        <w:rPr>
          <w:b/>
        </w:rPr>
        <w:tab/>
      </w:r>
      <w:r w:rsidR="009A519D">
        <w:rPr>
          <w:b/>
        </w:rPr>
        <w:tab/>
      </w:r>
      <w:r w:rsidR="009A519D">
        <w:rPr>
          <w:b/>
        </w:rPr>
        <w:tab/>
      </w:r>
      <w:r>
        <w:rPr>
          <w:b/>
        </w:rPr>
        <w:tab/>
      </w:r>
      <w:r>
        <w:rPr>
          <w:b/>
        </w:rPr>
        <w:tab/>
      </w:r>
      <w:r w:rsidR="00252F75">
        <w:rPr>
          <w:b/>
        </w:rPr>
        <w:tab/>
      </w:r>
      <w:r w:rsidR="00252F75">
        <w:rPr>
          <w:b/>
        </w:rPr>
        <w:tab/>
        <w:t xml:space="preserve"> </w:t>
      </w:r>
    </w:p>
    <w:p w:rsidR="00895A2F" w:rsidRDefault="00895A2F">
      <w:pPr>
        <w:rPr>
          <w:b/>
        </w:rPr>
      </w:pPr>
      <w:r>
        <w:rPr>
          <w:b/>
        </w:rPr>
        <w:t>429 Cooper Street, office 100</w:t>
      </w:r>
      <w:r w:rsidR="00D7026B">
        <w:rPr>
          <w:b/>
        </w:rPr>
        <w:tab/>
      </w:r>
      <w:r w:rsidR="00D7026B">
        <w:rPr>
          <w:b/>
        </w:rPr>
        <w:tab/>
      </w:r>
      <w:r w:rsidR="00D7026B">
        <w:rPr>
          <w:b/>
        </w:rPr>
        <w:tab/>
      </w:r>
      <w:r w:rsidR="00D7026B">
        <w:rPr>
          <w:b/>
        </w:rPr>
        <w:tab/>
      </w:r>
    </w:p>
    <w:p w:rsidR="004D482B" w:rsidRDefault="00895A2F">
      <w:pPr>
        <w:rPr>
          <w:b/>
        </w:rPr>
      </w:pPr>
      <w:r>
        <w:rPr>
          <w:b/>
        </w:rPr>
        <w:t>856-225-2656</w:t>
      </w:r>
    </w:p>
    <w:p w:rsidR="004D482B" w:rsidRDefault="0041386C">
      <w:pPr>
        <w:rPr>
          <w:b/>
        </w:rPr>
      </w:pPr>
      <w:r>
        <w:rPr>
          <w:b/>
        </w:rPr>
        <w:t>lthomas2</w:t>
      </w:r>
      <w:r w:rsidR="00252F75">
        <w:rPr>
          <w:b/>
        </w:rPr>
        <w:t>@camden.rutgers.edu</w:t>
      </w:r>
    </w:p>
    <w:p w:rsidR="004D482B" w:rsidRDefault="00895A2F" w:rsidP="00C15E5B">
      <w:pPr>
        <w:ind w:left="720" w:hanging="720"/>
        <w:rPr>
          <w:b/>
        </w:rPr>
      </w:pPr>
      <w:r>
        <w:rPr>
          <w:b/>
        </w:rPr>
        <w:t>o</w:t>
      </w:r>
      <w:r w:rsidR="004D482B">
        <w:rPr>
          <w:b/>
        </w:rPr>
        <w:t>ffi</w:t>
      </w:r>
      <w:r w:rsidR="009A519D">
        <w:rPr>
          <w:b/>
        </w:rPr>
        <w:t xml:space="preserve">ce hours: </w:t>
      </w:r>
      <w:r w:rsidR="00590E0C">
        <w:rPr>
          <w:b/>
        </w:rPr>
        <w:t>M</w:t>
      </w:r>
      <w:r w:rsidR="0001729A">
        <w:rPr>
          <w:b/>
        </w:rPr>
        <w:t>on.</w:t>
      </w:r>
      <w:r w:rsidR="00590E0C">
        <w:rPr>
          <w:b/>
        </w:rPr>
        <w:t xml:space="preserve"> </w:t>
      </w:r>
      <w:r w:rsidR="0001729A">
        <w:rPr>
          <w:b/>
        </w:rPr>
        <w:t>2-3:30,</w:t>
      </w:r>
      <w:r w:rsidR="00800505">
        <w:rPr>
          <w:b/>
        </w:rPr>
        <w:t xml:space="preserve"> </w:t>
      </w:r>
      <w:r w:rsidR="003A0321">
        <w:rPr>
          <w:b/>
        </w:rPr>
        <w:t>Tues. 12-2 and 5:30-6,</w:t>
      </w:r>
      <w:r w:rsidR="003D67A9">
        <w:rPr>
          <w:b/>
        </w:rPr>
        <w:t xml:space="preserve"> and by appt.</w:t>
      </w:r>
      <w:r w:rsidR="005A37C1">
        <w:rPr>
          <w:b/>
        </w:rPr>
        <w:t xml:space="preserve"> </w:t>
      </w:r>
    </w:p>
    <w:p w:rsidR="00DB6773" w:rsidRDefault="00DB6773" w:rsidP="00281091"/>
    <w:p w:rsidR="00281091" w:rsidRPr="00CE0F91" w:rsidRDefault="00281091" w:rsidP="00F14204">
      <w:pPr>
        <w:ind w:firstLine="720"/>
      </w:pPr>
      <w:r>
        <w:t>The Craft of History</w:t>
      </w:r>
      <w:r w:rsidRPr="00CE0F91">
        <w:t xml:space="preserve"> is u</w:t>
      </w:r>
      <w:r>
        <w:t>nique in the master’s program</w:t>
      </w:r>
      <w:r w:rsidR="006815AB">
        <w:t xml:space="preserve"> at Rutgers-Camden</w:t>
      </w:r>
      <w:r>
        <w:t xml:space="preserve">. </w:t>
      </w:r>
      <w:r w:rsidRPr="00CE0F91">
        <w:t>Rather than a readings or rese</w:t>
      </w:r>
      <w:r w:rsidR="00145274">
        <w:t xml:space="preserve">arch course in a particular </w:t>
      </w:r>
      <w:r w:rsidR="0021654A">
        <w:t>area</w:t>
      </w:r>
      <w:r w:rsidRPr="00CE0F91">
        <w:t xml:space="preserve"> of history, Craft is designed to familiarize students with major problems, questions, and methods that </w:t>
      </w:r>
      <w:r w:rsidR="00145274">
        <w:t>shape the discipline of</w:t>
      </w:r>
      <w:r w:rsidRPr="00CE0F91">
        <w:t xml:space="preserve"> history as a whole.</w:t>
      </w:r>
    </w:p>
    <w:p w:rsidR="00281091" w:rsidRDefault="00281091" w:rsidP="00281091">
      <w:r w:rsidRPr="00CE0F91">
        <w:tab/>
      </w:r>
      <w:r>
        <w:t>I</w:t>
      </w:r>
      <w:r w:rsidRPr="00CE0F91">
        <w:t xml:space="preserve">n the late </w:t>
      </w:r>
      <w:r w:rsidR="00145274">
        <w:t>19th</w:t>
      </w:r>
      <w:r w:rsidRPr="00CE0F91">
        <w:t xml:space="preserve"> century, the study of history was conceived of as a science—and science was con</w:t>
      </w:r>
      <w:r>
        <w:t>ceived of as being ahistorical.</w:t>
      </w:r>
      <w:r w:rsidRPr="00CE0F91">
        <w:t xml:space="preserve"> That is, history was </w:t>
      </w:r>
      <w:r w:rsidR="0021654A">
        <w:t>a phenomenon that the historian</w:t>
      </w:r>
      <w:r w:rsidRPr="00CE0F91">
        <w:t xml:space="preserve"> could observe objectively, without affecting or being affected by the process of observation; </w:t>
      </w:r>
      <w:r w:rsidR="0021654A">
        <w:t>likewise,</w:t>
      </w:r>
      <w:r w:rsidRPr="00CE0F91">
        <w:t xml:space="preserve"> scientific knowledge built progressively upon itself, existing outside any particular historical context.</w:t>
      </w:r>
      <w:r>
        <w:t xml:space="preserve"> </w:t>
      </w:r>
      <w:r w:rsidR="00145274">
        <w:t>Over the course of the 20</w:t>
      </w:r>
      <w:r w:rsidR="00145274" w:rsidRPr="00145274">
        <w:rPr>
          <w:vertAlign w:val="superscript"/>
        </w:rPr>
        <w:t>th</w:t>
      </w:r>
      <w:r w:rsidR="00145274">
        <w:t xml:space="preserve"> century, though, u</w:t>
      </w:r>
      <w:r w:rsidR="00145274" w:rsidRPr="00CE0F91">
        <w:t>nderstandings of history and science changed</w:t>
      </w:r>
      <w:r w:rsidR="00145274">
        <w:t>.</w:t>
      </w:r>
      <w:r>
        <w:t xml:space="preserve"> </w:t>
      </w:r>
      <w:r w:rsidRPr="00CE0F91">
        <w:t xml:space="preserve">Historians were recast not as objective observers of history but as subjective participants in history, who interpreted the past through their own biases and who were limited by their own historical context. </w:t>
      </w:r>
      <w:r>
        <w:t>By the 1960s, t</w:t>
      </w:r>
      <w:r w:rsidRPr="00CE0F91">
        <w:t xml:space="preserve">he very concept </w:t>
      </w:r>
      <w:r w:rsidR="00145274">
        <w:t>of “knowledge”—historical,</w:t>
      </w:r>
      <w:r w:rsidRPr="00CE0F91">
        <w:t xml:space="preserve"> scientific</w:t>
      </w:r>
      <w:r w:rsidR="00145274">
        <w:t>, and otherwise</w:t>
      </w:r>
      <w:r w:rsidRPr="00CE0F91">
        <w:t>—</w:t>
      </w:r>
      <w:r>
        <w:t>had been</w:t>
      </w:r>
      <w:r w:rsidRPr="00CE0F91">
        <w:t xml:space="preserve"> destabilized, and claims to knowledge were </w:t>
      </w:r>
      <w:r w:rsidR="0021654A">
        <w:t>often interpreted as</w:t>
      </w:r>
      <w:r w:rsidR="0021654A" w:rsidRPr="00CE0F91">
        <w:t xml:space="preserve"> </w:t>
      </w:r>
      <w:r w:rsidRPr="00CE0F91">
        <w:t>claims to power.</w:t>
      </w:r>
      <w:r>
        <w:t xml:space="preserve"> </w:t>
      </w:r>
      <w:r w:rsidRPr="00CE0F91">
        <w:t>New understandings of how to study the past came to challenge traditional approaches, leading to an expansion of</w:t>
      </w:r>
      <w:r w:rsidR="0021654A">
        <w:t xml:space="preserve"> subjects of</w:t>
      </w:r>
      <w:r w:rsidRPr="00CE0F91">
        <w:t xml:space="preserve"> historical study </w:t>
      </w:r>
      <w:r w:rsidR="005A3EB8" w:rsidRPr="00CE0F91">
        <w:t>but also to a</w:t>
      </w:r>
      <w:r w:rsidR="005A3EB8">
        <w:t xml:space="preserve"> final</w:t>
      </w:r>
      <w:r w:rsidR="005A3EB8" w:rsidRPr="00CE0F91">
        <w:t xml:space="preserve"> collapse of</w:t>
      </w:r>
      <w:r w:rsidR="005A3EB8">
        <w:t xml:space="preserve"> the </w:t>
      </w:r>
      <w:r w:rsidR="005A3EB8" w:rsidRPr="00CE0F91">
        <w:t>consensus</w:t>
      </w:r>
      <w:r w:rsidR="005A3EB8">
        <w:t xml:space="preserve"> that had defined academic history at the start of the century</w:t>
      </w:r>
      <w:r w:rsidR="005A3EB8" w:rsidRPr="00CE0F91">
        <w:t>.</w:t>
      </w:r>
    </w:p>
    <w:p w:rsidR="00F14204" w:rsidRDefault="00F14204" w:rsidP="00F14204">
      <w:pPr>
        <w:ind w:firstLine="720"/>
      </w:pPr>
      <w:r w:rsidRPr="00CE0F91">
        <w:t xml:space="preserve">The course is divided into </w:t>
      </w:r>
      <w:r>
        <w:t>two</w:t>
      </w:r>
      <w:r w:rsidRPr="00CE0F91">
        <w:t xml:space="preserve"> </w:t>
      </w:r>
      <w:r>
        <w:t xml:space="preserve">parts. </w:t>
      </w:r>
      <w:r w:rsidRPr="004D76D2">
        <w:t xml:space="preserve">In Part </w:t>
      </w:r>
      <w:r>
        <w:t xml:space="preserve">I, our readings </w:t>
      </w:r>
      <w:r w:rsidRPr="004D76D2">
        <w:t>cover a variety of major historiographical ap</w:t>
      </w:r>
      <w:r>
        <w:t xml:space="preserve">proaches. In Part II, </w:t>
      </w:r>
      <w:r w:rsidRPr="004D76D2">
        <w:t xml:space="preserve">we will examine </w:t>
      </w:r>
      <w:r>
        <w:t>several</w:t>
      </w:r>
      <w:r w:rsidRPr="004D76D2">
        <w:t xml:space="preserve"> cases of historiographical debate and</w:t>
      </w:r>
      <w:r w:rsidRPr="00CE0F91">
        <w:t xml:space="preserve"> </w:t>
      </w:r>
      <w:r>
        <w:t xml:space="preserve">consider </w:t>
      </w:r>
      <w:r w:rsidRPr="00CE0F91">
        <w:t>the boundaries between scholarship and fraud.</w:t>
      </w:r>
    </w:p>
    <w:p w:rsidR="005A3EB8" w:rsidRDefault="005A3EB8" w:rsidP="00281091"/>
    <w:p w:rsidR="00F14204" w:rsidRPr="004C3300" w:rsidRDefault="005A3EB8" w:rsidP="005A3EB8">
      <w:pPr>
        <w:rPr>
          <w:b/>
        </w:rPr>
      </w:pPr>
      <w:r w:rsidRPr="004C3300">
        <w:rPr>
          <w:b/>
          <w:u w:val="single"/>
        </w:rPr>
        <w:t>Required books</w:t>
      </w:r>
      <w:r w:rsidRPr="00F14204">
        <w:rPr>
          <w:b/>
        </w:rPr>
        <w:t xml:space="preserve">: </w:t>
      </w:r>
    </w:p>
    <w:p w:rsidR="005A3EB8" w:rsidRPr="003D67A9" w:rsidRDefault="005A3EB8" w:rsidP="005A3EB8">
      <w:pPr>
        <w:rPr>
          <w:i/>
          <w:sz w:val="22"/>
          <w:szCs w:val="22"/>
        </w:rPr>
      </w:pPr>
      <w:r w:rsidRPr="003D67A9">
        <w:rPr>
          <w:i/>
          <w:sz w:val="22"/>
          <w:szCs w:val="22"/>
        </w:rPr>
        <w:t xml:space="preserve">Note: All other required readings will be posted </w:t>
      </w:r>
      <w:r w:rsidR="003D67A9" w:rsidRPr="003D67A9">
        <w:rPr>
          <w:i/>
          <w:sz w:val="22"/>
          <w:szCs w:val="22"/>
        </w:rPr>
        <w:t>on the Sakai course website under “Resources</w:t>
      </w:r>
      <w:r w:rsidRPr="003D67A9">
        <w:rPr>
          <w:i/>
          <w:sz w:val="22"/>
          <w:szCs w:val="22"/>
        </w:rPr>
        <w:t>.</w:t>
      </w:r>
      <w:r w:rsidR="003D67A9" w:rsidRPr="003D67A9">
        <w:rPr>
          <w:i/>
          <w:sz w:val="22"/>
          <w:szCs w:val="22"/>
        </w:rPr>
        <w:t>”</w:t>
      </w:r>
      <w:r w:rsidR="005A37C1">
        <w:rPr>
          <w:i/>
          <w:sz w:val="22"/>
          <w:szCs w:val="22"/>
        </w:rPr>
        <w:t xml:space="preserve"> These shorter readings (book chapters and articles) are subject to change.</w:t>
      </w:r>
    </w:p>
    <w:p w:rsidR="00D7026B" w:rsidRDefault="00D7026B">
      <w:pPr>
        <w:rPr>
          <w:b/>
        </w:rPr>
      </w:pPr>
    </w:p>
    <w:p w:rsidR="00281091" w:rsidRPr="00A25AF6" w:rsidRDefault="00281091" w:rsidP="00281091">
      <w:pPr>
        <w:pStyle w:val="ColorfulList-Accent1"/>
        <w:numPr>
          <w:ilvl w:val="0"/>
          <w:numId w:val="5"/>
        </w:numPr>
      </w:pPr>
      <w:r w:rsidRPr="00A25AF6">
        <w:t xml:space="preserve">Peter Novick, </w:t>
      </w:r>
      <w:r w:rsidRPr="00A25AF6">
        <w:rPr>
          <w:i/>
        </w:rPr>
        <w:t>That Noble Dream: The “Objectivity Question” and the American Historical Profession</w:t>
      </w:r>
      <w:r w:rsidRPr="00A25AF6">
        <w:t xml:space="preserve"> (Ca</w:t>
      </w:r>
      <w:r w:rsidR="000622BF">
        <w:t>mbridge, 1988)</w:t>
      </w:r>
    </w:p>
    <w:p w:rsidR="00281091" w:rsidRPr="00A25AF6" w:rsidRDefault="00281091" w:rsidP="00281091">
      <w:pPr>
        <w:pStyle w:val="ColorfulList-Accent1"/>
        <w:numPr>
          <w:ilvl w:val="0"/>
          <w:numId w:val="5"/>
        </w:numPr>
        <w:rPr>
          <w:i/>
        </w:rPr>
      </w:pPr>
      <w:r w:rsidRPr="00A25AF6">
        <w:t xml:space="preserve">Thomas Kuhn, </w:t>
      </w:r>
      <w:r w:rsidRPr="00A25AF6">
        <w:rPr>
          <w:i/>
        </w:rPr>
        <w:t>The Structure of Scientific Revolutions</w:t>
      </w:r>
      <w:r w:rsidRPr="00A25AF6">
        <w:t xml:space="preserve"> (University of Chicago Press, 1962) </w:t>
      </w:r>
    </w:p>
    <w:p w:rsidR="00281091" w:rsidRPr="00A25AF6" w:rsidRDefault="00281091" w:rsidP="00281091">
      <w:pPr>
        <w:pStyle w:val="ColorfulList-Accent1"/>
        <w:numPr>
          <w:ilvl w:val="0"/>
          <w:numId w:val="5"/>
        </w:numPr>
        <w:rPr>
          <w:i/>
        </w:rPr>
      </w:pPr>
      <w:r w:rsidRPr="00A25AF6">
        <w:t xml:space="preserve">Eugene Genovese, </w:t>
      </w:r>
      <w:r w:rsidRPr="00A25AF6">
        <w:rPr>
          <w:i/>
        </w:rPr>
        <w:t>Roll Jordan Roll: The World the Slaves Made</w:t>
      </w:r>
      <w:r w:rsidRPr="00A25AF6">
        <w:t xml:space="preserve"> (Vintage</w:t>
      </w:r>
      <w:r w:rsidR="00377402">
        <w:t>, 1976 [1972]</w:t>
      </w:r>
      <w:r w:rsidRPr="00A25AF6">
        <w:t xml:space="preserve">) </w:t>
      </w:r>
    </w:p>
    <w:p w:rsidR="00281091" w:rsidRPr="00A25AF6" w:rsidRDefault="00281091" w:rsidP="00281091">
      <w:pPr>
        <w:pStyle w:val="ColorfulList-Accent1"/>
        <w:numPr>
          <w:ilvl w:val="0"/>
          <w:numId w:val="5"/>
        </w:numPr>
      </w:pPr>
      <w:r w:rsidRPr="00A25AF6">
        <w:t xml:space="preserve">Benedict Anderson, </w:t>
      </w:r>
      <w:r w:rsidRPr="00A25AF6">
        <w:rPr>
          <w:i/>
        </w:rPr>
        <w:t>Imagined Communities: Reflections on the Origin and Spread of Nationalism</w:t>
      </w:r>
      <w:r w:rsidRPr="00A25AF6">
        <w:t xml:space="preserve"> (</w:t>
      </w:r>
      <w:r w:rsidR="000622BF" w:rsidRPr="00A25AF6">
        <w:t>Verso</w:t>
      </w:r>
      <w:r w:rsidR="005A3EB8">
        <w:t>,</w:t>
      </w:r>
      <w:r w:rsidR="000622BF" w:rsidRPr="00A25AF6">
        <w:t xml:space="preserve"> </w:t>
      </w:r>
      <w:r w:rsidRPr="00A25AF6">
        <w:t xml:space="preserve">2006) </w:t>
      </w:r>
    </w:p>
    <w:p w:rsidR="00281091" w:rsidRPr="00A25AF6" w:rsidRDefault="00281091" w:rsidP="00281091">
      <w:pPr>
        <w:pStyle w:val="ColorfulList-Accent1"/>
        <w:numPr>
          <w:ilvl w:val="0"/>
          <w:numId w:val="5"/>
        </w:numPr>
      </w:pPr>
      <w:r w:rsidRPr="00A25AF6">
        <w:lastRenderedPageBreak/>
        <w:t xml:space="preserve">Edward Said, </w:t>
      </w:r>
      <w:r w:rsidRPr="00A25AF6">
        <w:rPr>
          <w:i/>
        </w:rPr>
        <w:t>Orientalism</w:t>
      </w:r>
      <w:r w:rsidRPr="00A25AF6">
        <w:t>. (Vintage</w:t>
      </w:r>
      <w:r w:rsidR="005A3EB8">
        <w:t>,</w:t>
      </w:r>
      <w:r w:rsidRPr="00A25AF6">
        <w:t xml:space="preserve"> 1994) </w:t>
      </w:r>
    </w:p>
    <w:p w:rsidR="00281091" w:rsidRPr="005A3EB8" w:rsidRDefault="00281091" w:rsidP="00281091">
      <w:pPr>
        <w:pStyle w:val="ColorfulList-Accent1"/>
        <w:numPr>
          <w:ilvl w:val="0"/>
          <w:numId w:val="5"/>
        </w:numPr>
      </w:pPr>
      <w:r w:rsidRPr="00A25AF6">
        <w:t xml:space="preserve">Michael Shermer and Alex Grobman, </w:t>
      </w:r>
      <w:r w:rsidRPr="00A25AF6">
        <w:rPr>
          <w:i/>
        </w:rPr>
        <w:t>Denying History: Who Says the Holocaust Never Happened and Why Do They Say It?</w:t>
      </w:r>
      <w:r w:rsidRPr="00A25AF6">
        <w:t xml:space="preserve"> (University of California Press, 2009)</w:t>
      </w:r>
      <w:r w:rsidRPr="00A25AF6">
        <w:rPr>
          <w:color w:val="262626"/>
          <w:sz w:val="22"/>
          <w:szCs w:val="22"/>
        </w:rPr>
        <w:t xml:space="preserve"> </w:t>
      </w:r>
    </w:p>
    <w:p w:rsidR="005A3EB8" w:rsidRPr="00A25AF6" w:rsidRDefault="005A3EB8" w:rsidP="005A3EB8">
      <w:pPr>
        <w:numPr>
          <w:ilvl w:val="0"/>
          <w:numId w:val="5"/>
        </w:numPr>
      </w:pPr>
      <w:r w:rsidRPr="00A25AF6">
        <w:t xml:space="preserve">Arias, ed., </w:t>
      </w:r>
      <w:r w:rsidRPr="00A25AF6">
        <w:rPr>
          <w:i/>
        </w:rPr>
        <w:t>The Rigoberta Menchu Controversy</w:t>
      </w:r>
      <w:r w:rsidRPr="00A25AF6">
        <w:t xml:space="preserve"> (</w:t>
      </w:r>
      <w:r>
        <w:rPr>
          <w:bCs/>
          <w:sz w:val="22"/>
          <w:szCs w:val="22"/>
        </w:rPr>
        <w:t>University of Minnesota, 2001</w:t>
      </w:r>
      <w:r w:rsidRPr="00A25AF6">
        <w:rPr>
          <w:bCs/>
          <w:sz w:val="22"/>
          <w:szCs w:val="22"/>
        </w:rPr>
        <w:t>)</w:t>
      </w:r>
    </w:p>
    <w:p w:rsidR="00281091" w:rsidRPr="00A25AF6" w:rsidRDefault="00281091" w:rsidP="00281091">
      <w:pPr>
        <w:pStyle w:val="ColorfulList-Accent1"/>
        <w:numPr>
          <w:ilvl w:val="0"/>
          <w:numId w:val="5"/>
        </w:numPr>
      </w:pPr>
      <w:r w:rsidRPr="00A25AF6">
        <w:t xml:space="preserve">David Blight, </w:t>
      </w:r>
      <w:r w:rsidRPr="00A25AF6">
        <w:rPr>
          <w:i/>
        </w:rPr>
        <w:t>Race and Reunion</w:t>
      </w:r>
      <w:r w:rsidRPr="00A25AF6">
        <w:t xml:space="preserve"> (Harvard, 2002) </w:t>
      </w:r>
    </w:p>
    <w:p w:rsidR="00281091" w:rsidRDefault="00281091" w:rsidP="00BA2D3E">
      <w:pPr>
        <w:pStyle w:val="ColorfulList-Accent1"/>
        <w:numPr>
          <w:ilvl w:val="0"/>
          <w:numId w:val="5"/>
        </w:numPr>
      </w:pPr>
      <w:r w:rsidRPr="00A25AF6">
        <w:t xml:space="preserve">Richard Evans, </w:t>
      </w:r>
      <w:r w:rsidRPr="00A25AF6">
        <w:rPr>
          <w:i/>
        </w:rPr>
        <w:t>In Defense of History</w:t>
      </w:r>
      <w:r w:rsidR="000622BF">
        <w:t xml:space="preserve"> (Norton, 2000)</w:t>
      </w:r>
    </w:p>
    <w:p w:rsidR="00F14204" w:rsidRPr="00BA2D3E" w:rsidRDefault="00F14204" w:rsidP="00F14204">
      <w:pPr>
        <w:pStyle w:val="ColorfulList-Accent1"/>
      </w:pPr>
    </w:p>
    <w:p w:rsidR="003540F1" w:rsidRPr="00CE0F91" w:rsidRDefault="003540F1" w:rsidP="003540F1">
      <w:pPr>
        <w:widowControl w:val="0"/>
      </w:pPr>
      <w:r w:rsidRPr="00CE0F91">
        <w:rPr>
          <w:b/>
        </w:rPr>
        <w:t>Assignments and Grading:</w:t>
      </w:r>
      <w:r>
        <w:t xml:space="preserve"> Since t</w:t>
      </w:r>
      <w:r w:rsidRPr="00CE0F91">
        <w:t xml:space="preserve">his class is a seminar, </w:t>
      </w:r>
      <w:r>
        <w:t>students are expected</w:t>
      </w:r>
      <w:r w:rsidRPr="00CE0F91">
        <w:t xml:space="preserve"> to complete all reading assignments on time (that is, before the class for which they are listed on the schedule below) and to participate actively in discussion.  </w:t>
      </w:r>
    </w:p>
    <w:p w:rsidR="003540F1" w:rsidRPr="00CE0F91" w:rsidRDefault="003540F1" w:rsidP="003540F1">
      <w:pPr>
        <w:widowControl w:val="0"/>
        <w:ind w:firstLine="720"/>
      </w:pPr>
      <w:r w:rsidRPr="00CE0F91">
        <w:t>The course has three writing assig</w:t>
      </w:r>
      <w:r>
        <w:t>nments, 8–</w:t>
      </w:r>
      <w:r w:rsidRPr="00CE0F91">
        <w:t>10 pages</w:t>
      </w:r>
      <w:r w:rsidR="005A37C1">
        <w:t xml:space="preserve"> each. </w:t>
      </w:r>
      <w:r w:rsidRPr="00CE0F91">
        <w:t xml:space="preserve">For the first paper, you will come up with and answer a </w:t>
      </w:r>
      <w:r w:rsidR="00C4513D" w:rsidRPr="00CE0F91">
        <w:t>question that</w:t>
      </w:r>
      <w:r w:rsidRPr="00CE0F91">
        <w:t xml:space="preserve"> treats </w:t>
      </w:r>
      <w:r w:rsidR="005A37C1">
        <w:t>any single</w:t>
      </w:r>
      <w:r w:rsidRPr="00CE0F91">
        <w:t xml:space="preserve"> week’s readings from weeks 1 through 5; you may turn it in at any time on or before</w:t>
      </w:r>
      <w:r>
        <w:t xml:space="preserve"> </w:t>
      </w:r>
      <w:r w:rsidR="003D67A9">
        <w:t>October 11</w:t>
      </w:r>
      <w:r w:rsidR="00E42268">
        <w:t xml:space="preserve">. </w:t>
      </w:r>
      <w:r w:rsidRPr="00CE0F91">
        <w:t>For the second paper, you will do the same for the</w:t>
      </w:r>
      <w:r w:rsidR="00694C13">
        <w:t xml:space="preserve"> readings for weeks 6 through 9</w:t>
      </w:r>
      <w:r w:rsidRPr="00CE0F91">
        <w:t xml:space="preserve">; you may turn it in at any time on or before </w:t>
      </w:r>
      <w:r w:rsidR="003D67A9">
        <w:t>November 15</w:t>
      </w:r>
      <w:r w:rsidR="00E42268">
        <w:t xml:space="preserve">. </w:t>
      </w:r>
      <w:r w:rsidRPr="00CE0F91">
        <w:t>For the third paper, you will consider the ways in which people have sought to distinguish valid from invalid claims about the past as cover</w:t>
      </w:r>
      <w:r w:rsidR="00694C13">
        <w:t>ed in the readings from weeks 10 through 14</w:t>
      </w:r>
      <w:r w:rsidRPr="00CE0F91">
        <w:t xml:space="preserve">; it </w:t>
      </w:r>
      <w:r w:rsidR="003D67A9">
        <w:t>is</w:t>
      </w:r>
      <w:r w:rsidRPr="00CE0F91">
        <w:t xml:space="preserve"> due on </w:t>
      </w:r>
      <w:r w:rsidR="00694C13">
        <w:t>December 16</w:t>
      </w:r>
      <w:r w:rsidRPr="00CE0F91">
        <w:t>.</w:t>
      </w:r>
    </w:p>
    <w:p w:rsidR="003540F1" w:rsidRPr="00CE0F91" w:rsidRDefault="003540F1" w:rsidP="003540F1">
      <w:pPr>
        <w:widowControl w:val="0"/>
        <w:ind w:firstLine="720"/>
      </w:pPr>
      <w:r w:rsidRPr="00CE0F91">
        <w:t>Your final grade will be distributed as follows:</w:t>
      </w:r>
    </w:p>
    <w:p w:rsidR="003540F1" w:rsidRPr="00CE0F91" w:rsidRDefault="003D67A9" w:rsidP="003540F1">
      <w:pPr>
        <w:widowControl w:val="0"/>
        <w:ind w:firstLine="720"/>
      </w:pPr>
      <w:r>
        <w:t xml:space="preserve">• </w:t>
      </w:r>
      <w:r w:rsidR="003540F1" w:rsidRPr="00CE0F91">
        <w:t>30% for class participation</w:t>
      </w:r>
    </w:p>
    <w:p w:rsidR="003540F1" w:rsidRPr="00CE0F91" w:rsidRDefault="003D67A9" w:rsidP="003540F1">
      <w:pPr>
        <w:widowControl w:val="0"/>
        <w:ind w:firstLine="720"/>
      </w:pPr>
      <w:r>
        <w:t xml:space="preserve">• </w:t>
      </w:r>
      <w:r w:rsidR="003540F1" w:rsidRPr="00CE0F91">
        <w:t>20% for the first paper</w:t>
      </w:r>
      <w:r>
        <w:t xml:space="preserve"> [due by Oct. 11</w:t>
      </w:r>
      <w:r w:rsidR="00C32B16">
        <w:t>]</w:t>
      </w:r>
    </w:p>
    <w:p w:rsidR="003540F1" w:rsidRPr="00CE0F91" w:rsidRDefault="003D67A9" w:rsidP="003540F1">
      <w:pPr>
        <w:widowControl w:val="0"/>
        <w:ind w:firstLine="720"/>
      </w:pPr>
      <w:r>
        <w:t xml:space="preserve">• </w:t>
      </w:r>
      <w:r w:rsidR="003540F1" w:rsidRPr="00CE0F91">
        <w:t>25% for the second paper</w:t>
      </w:r>
      <w:r>
        <w:t xml:space="preserve"> [due by Nov. 15</w:t>
      </w:r>
      <w:r w:rsidR="00C32B16">
        <w:t>]</w:t>
      </w:r>
    </w:p>
    <w:p w:rsidR="003540F1" w:rsidRPr="00CE0F91" w:rsidRDefault="003D67A9" w:rsidP="003540F1">
      <w:pPr>
        <w:ind w:firstLine="720"/>
        <w:rPr>
          <w:b/>
        </w:rPr>
      </w:pPr>
      <w:r>
        <w:t xml:space="preserve">• </w:t>
      </w:r>
      <w:r w:rsidR="003540F1" w:rsidRPr="00CE0F91">
        <w:t xml:space="preserve">25% for the </w:t>
      </w:r>
      <w:r w:rsidR="00694C13">
        <w:t>final</w:t>
      </w:r>
      <w:r>
        <w:t xml:space="preserve"> paper [due on Dec. 16</w:t>
      </w:r>
      <w:r w:rsidR="00C32B16">
        <w:t>]</w:t>
      </w:r>
    </w:p>
    <w:p w:rsidR="004C3300" w:rsidRDefault="004C3300" w:rsidP="003540F1">
      <w:pPr>
        <w:rPr>
          <w:b/>
        </w:rPr>
      </w:pPr>
    </w:p>
    <w:p w:rsidR="003540F1" w:rsidRPr="00CE0F91" w:rsidRDefault="003540F1" w:rsidP="003540F1">
      <w:r w:rsidRPr="00CE0F91">
        <w:rPr>
          <w:b/>
        </w:rPr>
        <w:t>Attendance</w:t>
      </w:r>
      <w:r w:rsidRPr="00CE0F91">
        <w:t>: If you</w:t>
      </w:r>
      <w:r w:rsidR="00694C13">
        <w:t xml:space="preserve"> must</w:t>
      </w:r>
      <w:r w:rsidRPr="00CE0F91">
        <w:t xml:space="preserve"> miss </w:t>
      </w:r>
      <w:r w:rsidR="00694C13">
        <w:t xml:space="preserve">a </w:t>
      </w:r>
      <w:r w:rsidRPr="00CE0F91">
        <w:t xml:space="preserve">class, you will be required to write a </w:t>
      </w:r>
      <w:r w:rsidR="00C4513D" w:rsidRPr="00CE0F91">
        <w:t>5-7-page</w:t>
      </w:r>
      <w:r>
        <w:t xml:space="preserve"> paper on that week’s readings, to be submitted by the beginning of the next class meeting.</w:t>
      </w:r>
    </w:p>
    <w:p w:rsidR="00DB6773" w:rsidRDefault="00DB6773" w:rsidP="00C15E5B"/>
    <w:p w:rsidR="005A37C1" w:rsidRDefault="005A37C1" w:rsidP="00C15E5B"/>
    <w:p w:rsidR="004C3300" w:rsidRPr="004C3300" w:rsidRDefault="004C3300" w:rsidP="00B94446">
      <w:pPr>
        <w:rPr>
          <w:b/>
          <w:u w:val="single"/>
        </w:rPr>
      </w:pPr>
      <w:r w:rsidRPr="004C3300">
        <w:rPr>
          <w:b/>
          <w:u w:val="single"/>
        </w:rPr>
        <w:t>SCHEDULE OF CLASSES AND ASSIGNMENTS</w:t>
      </w:r>
    </w:p>
    <w:p w:rsidR="00B94446" w:rsidRPr="004C3300" w:rsidRDefault="004C3300" w:rsidP="00B94446">
      <w:pPr>
        <w:rPr>
          <w:i/>
        </w:rPr>
      </w:pPr>
      <w:r>
        <w:rPr>
          <w:i/>
        </w:rPr>
        <w:t xml:space="preserve">Note: </w:t>
      </w:r>
      <w:r w:rsidRPr="004C3300">
        <w:rPr>
          <w:i/>
        </w:rPr>
        <w:t>please read items in the order in which they appear below.</w:t>
      </w:r>
    </w:p>
    <w:p w:rsidR="00B94446" w:rsidRDefault="00B94446" w:rsidP="00C15E5B"/>
    <w:p w:rsidR="00145274" w:rsidRDefault="00145274" w:rsidP="00145274">
      <w:pPr>
        <w:rPr>
          <w:b/>
          <w:sz w:val="28"/>
        </w:rPr>
      </w:pPr>
      <w:r>
        <w:rPr>
          <w:b/>
          <w:sz w:val="28"/>
        </w:rPr>
        <w:t>Unit I: Historians’ Approaches</w:t>
      </w:r>
    </w:p>
    <w:p w:rsidR="004D482B" w:rsidRDefault="004D482B">
      <w:pPr>
        <w:rPr>
          <w:b/>
        </w:rPr>
      </w:pPr>
    </w:p>
    <w:p w:rsidR="004D482B" w:rsidRDefault="004D482B">
      <w:r>
        <w:rPr>
          <w:b/>
        </w:rPr>
        <w:t xml:space="preserve">Week </w:t>
      </w:r>
      <w:r w:rsidR="006C4AB3">
        <w:rPr>
          <w:b/>
        </w:rPr>
        <w:t>1</w:t>
      </w:r>
      <w:r w:rsidR="006C4AB3">
        <w:t xml:space="preserve">, </w:t>
      </w:r>
      <w:r w:rsidR="0001729A" w:rsidRPr="0001729A">
        <w:rPr>
          <w:b/>
        </w:rPr>
        <w:t xml:space="preserve">September </w:t>
      </w:r>
      <w:r w:rsidR="003D67A9">
        <w:rPr>
          <w:b/>
        </w:rPr>
        <w:t>6</w:t>
      </w:r>
    </w:p>
    <w:p w:rsidR="002077C0" w:rsidRPr="002077C0" w:rsidRDefault="002077C0">
      <w:pPr>
        <w:rPr>
          <w:b/>
        </w:rPr>
      </w:pPr>
      <w:r w:rsidRPr="002077C0">
        <w:rPr>
          <w:b/>
          <w:i/>
          <w:sz w:val="28"/>
        </w:rPr>
        <w:t>The History of History</w:t>
      </w:r>
    </w:p>
    <w:p w:rsidR="004D482B" w:rsidRDefault="004D482B" w:rsidP="006A45F9">
      <w:pPr>
        <w:numPr>
          <w:ilvl w:val="0"/>
          <w:numId w:val="11"/>
        </w:numPr>
        <w:ind w:left="720"/>
      </w:pPr>
      <w:r>
        <w:t xml:space="preserve">Peter Novick, </w:t>
      </w:r>
      <w:r>
        <w:rPr>
          <w:i/>
        </w:rPr>
        <w:t>That Noble Dream: The “Objectivity Question” and the American Historical Profession</w:t>
      </w:r>
      <w:r>
        <w:t xml:space="preserve"> whole book</w:t>
      </w:r>
    </w:p>
    <w:p w:rsidR="004D482B" w:rsidRDefault="004D482B"/>
    <w:p w:rsidR="00377402" w:rsidRPr="00377402" w:rsidRDefault="006C4AB3" w:rsidP="00BA6C35">
      <w:r>
        <w:rPr>
          <w:b/>
        </w:rPr>
        <w:t>Week 2,</w:t>
      </w:r>
      <w:r w:rsidR="00145274">
        <w:t xml:space="preserve"> </w:t>
      </w:r>
      <w:r w:rsidR="00145274" w:rsidRPr="006A45F9">
        <w:rPr>
          <w:b/>
        </w:rPr>
        <w:t xml:space="preserve">September </w:t>
      </w:r>
      <w:r w:rsidR="003D67A9">
        <w:rPr>
          <w:b/>
        </w:rPr>
        <w:t>13</w:t>
      </w:r>
    </w:p>
    <w:p w:rsidR="00377402" w:rsidRPr="002077C0" w:rsidRDefault="00377402" w:rsidP="00377402">
      <w:pPr>
        <w:rPr>
          <w:b/>
        </w:rPr>
      </w:pPr>
      <w:r w:rsidRPr="002077C0">
        <w:rPr>
          <w:b/>
          <w:i/>
          <w:sz w:val="28"/>
        </w:rPr>
        <w:t>Science as History</w:t>
      </w:r>
    </w:p>
    <w:p w:rsidR="00377402" w:rsidRPr="00557A27" w:rsidRDefault="00377402" w:rsidP="00377402">
      <w:pPr>
        <w:pStyle w:val="ColorfulList-Accent1"/>
        <w:numPr>
          <w:ilvl w:val="0"/>
          <w:numId w:val="10"/>
        </w:numPr>
        <w:rPr>
          <w:i/>
        </w:rPr>
      </w:pPr>
      <w:r>
        <w:t xml:space="preserve">Excerpts from Karl Popper, </w:t>
      </w:r>
      <w:r>
        <w:rPr>
          <w:i/>
        </w:rPr>
        <w:t>The Logic of Scientific Discovery</w:t>
      </w:r>
      <w:r>
        <w:t xml:space="preserve"> (New York: Basic Books, 1959)</w:t>
      </w:r>
    </w:p>
    <w:p w:rsidR="00377402" w:rsidRPr="00557A27" w:rsidRDefault="00377402" w:rsidP="00377402">
      <w:pPr>
        <w:pStyle w:val="ColorfulList-Accent1"/>
        <w:numPr>
          <w:ilvl w:val="0"/>
          <w:numId w:val="10"/>
        </w:numPr>
        <w:rPr>
          <w:i/>
        </w:rPr>
      </w:pPr>
      <w:r w:rsidRPr="00CE0F91">
        <w:t xml:space="preserve">Kuhn, </w:t>
      </w:r>
      <w:r w:rsidRPr="00CE0F91">
        <w:rPr>
          <w:i/>
        </w:rPr>
        <w:t>The Structure of Scientific Revolutions</w:t>
      </w:r>
      <w:r>
        <w:t xml:space="preserve"> (1962)</w:t>
      </w:r>
    </w:p>
    <w:p w:rsidR="00377402" w:rsidRPr="005A37C1" w:rsidRDefault="00377402" w:rsidP="00377402">
      <w:pPr>
        <w:pStyle w:val="ColorfulList-Accent1"/>
        <w:numPr>
          <w:ilvl w:val="0"/>
          <w:numId w:val="10"/>
        </w:numPr>
        <w:rPr>
          <w:i/>
        </w:rPr>
      </w:pPr>
      <w:r>
        <w:t xml:space="preserve">Re-read Novick, </w:t>
      </w:r>
      <w:r>
        <w:rPr>
          <w:i/>
        </w:rPr>
        <w:t>That Noble Dream</w:t>
      </w:r>
      <w:r>
        <w:t>, 298–301 and 524–35</w:t>
      </w:r>
    </w:p>
    <w:p w:rsidR="005A37C1" w:rsidRPr="00CE0F91" w:rsidRDefault="005A37C1" w:rsidP="005A37C1">
      <w:pPr>
        <w:pStyle w:val="ColorfulList-Accent1"/>
        <w:rPr>
          <w:i/>
        </w:rPr>
      </w:pPr>
    </w:p>
    <w:p w:rsidR="005A37C1" w:rsidRDefault="005A37C1">
      <w:pPr>
        <w:rPr>
          <w:b/>
        </w:rPr>
      </w:pPr>
    </w:p>
    <w:p w:rsidR="005A37C1" w:rsidRDefault="005A37C1">
      <w:pPr>
        <w:rPr>
          <w:b/>
        </w:rPr>
      </w:pPr>
    </w:p>
    <w:p w:rsidR="00BA6C35" w:rsidRDefault="00BA6C35">
      <w:r w:rsidRPr="00BA6C35">
        <w:rPr>
          <w:b/>
        </w:rPr>
        <w:t>Wee</w:t>
      </w:r>
      <w:r w:rsidR="006C4AB3">
        <w:rPr>
          <w:b/>
        </w:rPr>
        <w:t>k 3,</w:t>
      </w:r>
      <w:r w:rsidR="003D1E9B">
        <w:rPr>
          <w:b/>
        </w:rPr>
        <w:t xml:space="preserve"> </w:t>
      </w:r>
      <w:r w:rsidR="00145274" w:rsidRPr="006A45F9">
        <w:rPr>
          <w:b/>
        </w:rPr>
        <w:t xml:space="preserve">September </w:t>
      </w:r>
      <w:r w:rsidR="003D67A9">
        <w:rPr>
          <w:b/>
        </w:rPr>
        <w:t>20</w:t>
      </w:r>
    </w:p>
    <w:p w:rsidR="00377402" w:rsidRPr="002077C0" w:rsidRDefault="00377402" w:rsidP="00377402">
      <w:pPr>
        <w:rPr>
          <w:b/>
        </w:rPr>
      </w:pPr>
      <w:r w:rsidRPr="002077C0">
        <w:rPr>
          <w:b/>
          <w:i/>
          <w:sz w:val="28"/>
        </w:rPr>
        <w:t>Marxism</w:t>
      </w:r>
      <w:r w:rsidRPr="002077C0">
        <w:rPr>
          <w:b/>
        </w:rPr>
        <w:t xml:space="preserve"> </w:t>
      </w:r>
    </w:p>
    <w:p w:rsidR="00377402" w:rsidRPr="00CE0F91" w:rsidRDefault="00377402" w:rsidP="00377402">
      <w:pPr>
        <w:pStyle w:val="ColorfulList-Accent1"/>
        <w:numPr>
          <w:ilvl w:val="0"/>
          <w:numId w:val="8"/>
        </w:numPr>
        <w:rPr>
          <w:i/>
        </w:rPr>
      </w:pPr>
      <w:r w:rsidRPr="00CE0F91">
        <w:t xml:space="preserve">Excerpts from Karl Marx, </w:t>
      </w:r>
      <w:r w:rsidRPr="00CE0F91">
        <w:rPr>
          <w:i/>
        </w:rPr>
        <w:t>Capital</w:t>
      </w:r>
      <w:r w:rsidRPr="00CE0F91">
        <w:t>, vol. 1</w:t>
      </w:r>
      <w:r>
        <w:t xml:space="preserve"> [pp. 671-715]</w:t>
      </w:r>
    </w:p>
    <w:p w:rsidR="00377402" w:rsidRPr="00CE0F91" w:rsidRDefault="00377402" w:rsidP="00377402">
      <w:pPr>
        <w:pStyle w:val="ColorfulList-Accent1"/>
        <w:numPr>
          <w:ilvl w:val="0"/>
          <w:numId w:val="8"/>
        </w:numPr>
        <w:rPr>
          <w:i/>
        </w:rPr>
      </w:pPr>
      <w:r w:rsidRPr="00CE0F91">
        <w:t xml:space="preserve">Raymond Williams, “Base and Superstructure in Marxist Cultural History,” </w:t>
      </w:r>
      <w:r w:rsidRPr="00CE0F91">
        <w:rPr>
          <w:i/>
        </w:rPr>
        <w:t>New Left Review</w:t>
      </w:r>
      <w:r w:rsidRPr="00CE0F91">
        <w:t xml:space="preserve"> I/82 (November-December 1973): 3–16</w:t>
      </w:r>
    </w:p>
    <w:p w:rsidR="00377402" w:rsidRPr="00CE0F91" w:rsidRDefault="00377402" w:rsidP="00377402">
      <w:pPr>
        <w:pStyle w:val="ColorfulList-Accent1"/>
        <w:numPr>
          <w:ilvl w:val="0"/>
          <w:numId w:val="8"/>
        </w:numPr>
        <w:rPr>
          <w:i/>
        </w:rPr>
      </w:pPr>
      <w:r w:rsidRPr="00CE0F91">
        <w:t>E. P. Thompson, “Eighteenth-C</w:t>
      </w:r>
      <w:r>
        <w:t>entury English Society: Class S</w:t>
      </w:r>
      <w:r w:rsidRPr="00CE0F91">
        <w:t xml:space="preserve">truggle without Class?” </w:t>
      </w:r>
      <w:r w:rsidRPr="00CE0F91">
        <w:rPr>
          <w:i/>
        </w:rPr>
        <w:t>Social History</w:t>
      </w:r>
      <w:r w:rsidRPr="00CE0F91">
        <w:t xml:space="preserve"> 3, no. 2 (May 1978): 133–65</w:t>
      </w:r>
    </w:p>
    <w:p w:rsidR="00377402" w:rsidRPr="00CE0F91" w:rsidRDefault="00377402" w:rsidP="00377402">
      <w:pPr>
        <w:pStyle w:val="ColorfulList-Accent1"/>
        <w:numPr>
          <w:ilvl w:val="0"/>
          <w:numId w:val="8"/>
        </w:numPr>
        <w:rPr>
          <w:i/>
        </w:rPr>
      </w:pPr>
      <w:r w:rsidRPr="00CE0F91">
        <w:t xml:space="preserve">Excerpts from Ellen Meiksins Wood, </w:t>
      </w:r>
      <w:r w:rsidRPr="00CE0F91">
        <w:rPr>
          <w:i/>
        </w:rPr>
        <w:t>Democracy Against Capitalism: Renewing Historical Materialism</w:t>
      </w:r>
      <w:r w:rsidRPr="00CE0F91">
        <w:t xml:space="preserve"> (Cambridge: Cambridge University Press, 1995)</w:t>
      </w:r>
    </w:p>
    <w:p w:rsidR="00377402" w:rsidRPr="00E270B9" w:rsidRDefault="00377402" w:rsidP="00377402">
      <w:pPr>
        <w:pStyle w:val="ColorfulList-Accent1"/>
        <w:numPr>
          <w:ilvl w:val="0"/>
          <w:numId w:val="8"/>
        </w:numPr>
        <w:rPr>
          <w:i/>
        </w:rPr>
      </w:pPr>
      <w:r w:rsidRPr="00CE0F91">
        <w:t xml:space="preserve">Excerpts from Eric Hobsbawm, </w:t>
      </w:r>
      <w:r w:rsidRPr="00CE0F91">
        <w:rPr>
          <w:i/>
        </w:rPr>
        <w:t>On History</w:t>
      </w:r>
      <w:r w:rsidRPr="00CE0F91">
        <w:t xml:space="preserve"> (The New Press, 1998)</w:t>
      </w:r>
      <w:r>
        <w:t xml:space="preserve"> [pp. 141-156]</w:t>
      </w:r>
    </w:p>
    <w:p w:rsidR="00EE2DB7" w:rsidRDefault="00EE2DB7" w:rsidP="00EE2DB7">
      <w:pPr>
        <w:pStyle w:val="ColorfulList-Accent1"/>
      </w:pPr>
    </w:p>
    <w:p w:rsidR="004D482B" w:rsidRDefault="00BA6C35">
      <w:r>
        <w:rPr>
          <w:b/>
        </w:rPr>
        <w:t>Week</w:t>
      </w:r>
      <w:r w:rsidR="006C4AB3">
        <w:rPr>
          <w:b/>
        </w:rPr>
        <w:t xml:space="preserve"> 4, </w:t>
      </w:r>
      <w:r w:rsidR="003D67A9">
        <w:rPr>
          <w:b/>
        </w:rPr>
        <w:t>September 27</w:t>
      </w:r>
    </w:p>
    <w:p w:rsidR="00377402" w:rsidRDefault="00377402" w:rsidP="00377402">
      <w:pPr>
        <w:rPr>
          <w:b/>
          <w:i/>
          <w:sz w:val="28"/>
          <w:szCs w:val="28"/>
        </w:rPr>
      </w:pPr>
      <w:r w:rsidRPr="002077C0">
        <w:rPr>
          <w:b/>
          <w:i/>
          <w:sz w:val="28"/>
          <w:szCs w:val="28"/>
        </w:rPr>
        <w:t>Imperialism</w:t>
      </w:r>
    </w:p>
    <w:p w:rsidR="00377402" w:rsidRPr="00D75DEB" w:rsidRDefault="00377402" w:rsidP="00377402">
      <w:pPr>
        <w:pStyle w:val="ColorfulList-Accent1"/>
        <w:numPr>
          <w:ilvl w:val="0"/>
          <w:numId w:val="9"/>
        </w:numPr>
      </w:pPr>
      <w:r>
        <w:t xml:space="preserve">John A. Hobson, </w:t>
      </w:r>
      <w:r>
        <w:rPr>
          <w:i/>
        </w:rPr>
        <w:t>Imperialism: A Study</w:t>
      </w:r>
      <w:r>
        <w:t xml:space="preserve"> (London: Allen Unwin, 1954; first published 1902), Part I, Chapter 6</w:t>
      </w:r>
    </w:p>
    <w:p w:rsidR="00377402" w:rsidRPr="00A363D9" w:rsidRDefault="00377402" w:rsidP="00377402">
      <w:pPr>
        <w:pStyle w:val="ColorfulList-Accent1"/>
        <w:numPr>
          <w:ilvl w:val="0"/>
          <w:numId w:val="9"/>
        </w:numPr>
      </w:pPr>
      <w:r>
        <w:t xml:space="preserve">Vladimir I. Lenin, </w:t>
      </w:r>
      <w:r>
        <w:rPr>
          <w:i/>
        </w:rPr>
        <w:t>Imperialism: The Highest Stage of Capitalism</w:t>
      </w:r>
      <w:r>
        <w:t>, Chapters 7 and 10</w:t>
      </w:r>
    </w:p>
    <w:p w:rsidR="00377402" w:rsidRPr="00A363D9" w:rsidRDefault="00377402" w:rsidP="00377402">
      <w:pPr>
        <w:pStyle w:val="ColorfulList-Accent1"/>
        <w:numPr>
          <w:ilvl w:val="0"/>
          <w:numId w:val="9"/>
        </w:numPr>
      </w:pPr>
      <w:r>
        <w:t xml:space="preserve">D. K. Fieldhouse, “‘Imperialism’: An Historiographical Revision,” </w:t>
      </w:r>
      <w:r>
        <w:rPr>
          <w:i/>
        </w:rPr>
        <w:t>Economic History Review</w:t>
      </w:r>
      <w:r>
        <w:t xml:space="preserve"> 14, no. 2 (1961): 187–209</w:t>
      </w:r>
    </w:p>
    <w:p w:rsidR="00377402" w:rsidRPr="00CE0F91" w:rsidRDefault="00377402" w:rsidP="00377402">
      <w:pPr>
        <w:pStyle w:val="ColorfulList-Accent1"/>
        <w:numPr>
          <w:ilvl w:val="0"/>
          <w:numId w:val="9"/>
        </w:numPr>
      </w:pPr>
      <w:r>
        <w:t xml:space="preserve">Arthur M. Eckstein, “Is There a ‘Hobson-Lenin Thesis’ on Late Nineteenth-Century Colonial Expansion?” </w:t>
      </w:r>
      <w:r>
        <w:rPr>
          <w:i/>
        </w:rPr>
        <w:t>Economic History Review</w:t>
      </w:r>
      <w:r>
        <w:t xml:space="preserve"> 44, no. 2 (May 1991): 297–318</w:t>
      </w:r>
    </w:p>
    <w:p w:rsidR="00377402" w:rsidRPr="002A324F" w:rsidRDefault="00377402" w:rsidP="00377402">
      <w:pPr>
        <w:pStyle w:val="ColorfulList-Accent1"/>
        <w:numPr>
          <w:ilvl w:val="0"/>
          <w:numId w:val="9"/>
        </w:numPr>
      </w:pPr>
      <w:r>
        <w:t xml:space="preserve">Ronald Robinson and John Gallagher, “The Imperialism of Free Trade,” </w:t>
      </w:r>
      <w:r>
        <w:rPr>
          <w:i/>
        </w:rPr>
        <w:t>Economic History Review</w:t>
      </w:r>
      <w:r>
        <w:t xml:space="preserve"> 6, no. 1 (1953): 1–15</w:t>
      </w:r>
    </w:p>
    <w:p w:rsidR="00377402" w:rsidRPr="000836EC" w:rsidRDefault="00377402" w:rsidP="00377402">
      <w:pPr>
        <w:pStyle w:val="ColorfulList-Accent1"/>
        <w:numPr>
          <w:ilvl w:val="0"/>
          <w:numId w:val="9"/>
        </w:numPr>
      </w:pPr>
      <w:r>
        <w:t xml:space="preserve">D. C. M. Platt, “The Imperialism of Free Trade: Some Reservations,” </w:t>
      </w:r>
      <w:r>
        <w:rPr>
          <w:i/>
        </w:rPr>
        <w:t>Economic History Review</w:t>
      </w:r>
      <w:r>
        <w:t xml:space="preserve"> 21, no. 2 (August 1968): 296–306</w:t>
      </w:r>
    </w:p>
    <w:p w:rsidR="00377402" w:rsidRDefault="00377402" w:rsidP="00377402">
      <w:pPr>
        <w:pStyle w:val="ColorfulList-Accent1"/>
        <w:numPr>
          <w:ilvl w:val="0"/>
          <w:numId w:val="9"/>
        </w:numPr>
      </w:pPr>
      <w:r>
        <w:t xml:space="preserve">Eric Stokes, “Late Nineteenth-Century Colonial Expansion and the Attack on the Theory of Economic Imperialism: A Case of Mistaken Identity?” </w:t>
      </w:r>
      <w:r>
        <w:rPr>
          <w:i/>
        </w:rPr>
        <w:t>Historical Journal</w:t>
      </w:r>
      <w:r>
        <w:t xml:space="preserve"> 12, no. 2 (1969): 285–301</w:t>
      </w:r>
    </w:p>
    <w:p w:rsidR="00432D18" w:rsidRDefault="00432D18" w:rsidP="00432D18">
      <w:pPr>
        <w:pStyle w:val="ColorfulList-Accent1"/>
        <w:numPr>
          <w:ilvl w:val="0"/>
          <w:numId w:val="9"/>
        </w:numPr>
      </w:pPr>
      <w:r>
        <w:t xml:space="preserve">Fernando Cardoso, “The Consumption of Dependency Theory in the United States,” </w:t>
      </w:r>
      <w:r>
        <w:rPr>
          <w:i/>
        </w:rPr>
        <w:t>Latin American Research Review</w:t>
      </w:r>
      <w:r>
        <w:t xml:space="preserve"> 12 (1977): 7-24</w:t>
      </w:r>
    </w:p>
    <w:p w:rsidR="00432D18" w:rsidRDefault="00432D18" w:rsidP="00432D18">
      <w:pPr>
        <w:pStyle w:val="ColorfulList-Accent1"/>
        <w:numPr>
          <w:ilvl w:val="0"/>
          <w:numId w:val="9"/>
        </w:numPr>
      </w:pPr>
      <w:r>
        <w:t xml:space="preserve">Louis Pérez, “Dependency,” </w:t>
      </w:r>
      <w:r>
        <w:rPr>
          <w:i/>
        </w:rPr>
        <w:t>Journal of American History</w:t>
      </w:r>
      <w:r>
        <w:t xml:space="preserve"> 77 (June, 1990): 133-142</w:t>
      </w:r>
    </w:p>
    <w:p w:rsidR="004D482B" w:rsidRDefault="004D482B"/>
    <w:p w:rsidR="00242F12" w:rsidRDefault="004D482B">
      <w:r>
        <w:rPr>
          <w:b/>
        </w:rPr>
        <w:t>Week</w:t>
      </w:r>
      <w:r w:rsidR="00593408">
        <w:rPr>
          <w:b/>
        </w:rPr>
        <w:t xml:space="preserve"> 5, </w:t>
      </w:r>
      <w:r w:rsidR="003D67A9">
        <w:rPr>
          <w:b/>
        </w:rPr>
        <w:t>October 4</w:t>
      </w:r>
    </w:p>
    <w:p w:rsidR="00377402" w:rsidRPr="002077C0" w:rsidRDefault="00377402" w:rsidP="00377402">
      <w:pPr>
        <w:rPr>
          <w:b/>
        </w:rPr>
      </w:pPr>
      <w:r w:rsidRPr="002077C0">
        <w:rPr>
          <w:b/>
          <w:i/>
          <w:sz w:val="28"/>
        </w:rPr>
        <w:t>Hegemony and Slavery</w:t>
      </w:r>
    </w:p>
    <w:p w:rsidR="00377402" w:rsidRDefault="00377402" w:rsidP="00377402">
      <w:pPr>
        <w:pStyle w:val="ColorfulList-Accent1"/>
        <w:numPr>
          <w:ilvl w:val="0"/>
          <w:numId w:val="8"/>
        </w:numPr>
      </w:pPr>
      <w:r w:rsidRPr="00CE0F91">
        <w:t xml:space="preserve">Eugene Genovese, </w:t>
      </w:r>
      <w:r w:rsidRPr="00CE0F91">
        <w:rPr>
          <w:i/>
        </w:rPr>
        <w:t>Roll, Jordan, Roll: The World the Slaves Made</w:t>
      </w:r>
      <w:r>
        <w:t xml:space="preserve"> (New York: Vintage Books, 1976)</w:t>
      </w:r>
      <w:r w:rsidRPr="00CE0F91">
        <w:t>, preface, 3–158, 585–660</w:t>
      </w:r>
    </w:p>
    <w:p w:rsidR="00377402" w:rsidRPr="00CE0F91" w:rsidRDefault="00377402" w:rsidP="00377402">
      <w:pPr>
        <w:pStyle w:val="ColorfulList-Accent1"/>
        <w:numPr>
          <w:ilvl w:val="0"/>
          <w:numId w:val="8"/>
        </w:numPr>
      </w:pPr>
      <w:r w:rsidRPr="00CE0F91">
        <w:t xml:space="preserve">Raymond Williams, “Hegemony,” in Williams, </w:t>
      </w:r>
      <w:r w:rsidRPr="00CE0F91">
        <w:rPr>
          <w:i/>
        </w:rPr>
        <w:t>Marxism and Literature</w:t>
      </w:r>
      <w:r w:rsidRPr="00CE0F91">
        <w:t xml:space="preserve"> (Oxford: Oxford University Press, 1977), 108–114</w:t>
      </w:r>
    </w:p>
    <w:p w:rsidR="005A3EB8" w:rsidRPr="00BA2D3E" w:rsidRDefault="00377402" w:rsidP="00BA2D3E">
      <w:pPr>
        <w:pStyle w:val="ColorfulList-Accent1"/>
        <w:numPr>
          <w:ilvl w:val="0"/>
          <w:numId w:val="8"/>
        </w:numPr>
      </w:pPr>
      <w:r w:rsidRPr="00CE0F91">
        <w:t xml:space="preserve">T. J. Jackson Lears, “The Concept of Cultural Hegemony: Problems and Possibilities,” </w:t>
      </w:r>
      <w:r w:rsidRPr="00CE0F91">
        <w:rPr>
          <w:i/>
        </w:rPr>
        <w:t>American Historical Review</w:t>
      </w:r>
      <w:r w:rsidRPr="00CE0F91">
        <w:t xml:space="preserve"> 90, no. 3 (June 1985): 567–93</w:t>
      </w:r>
    </w:p>
    <w:p w:rsidR="003D67A9" w:rsidRDefault="003D67A9">
      <w:pPr>
        <w:rPr>
          <w:b/>
        </w:rPr>
      </w:pPr>
    </w:p>
    <w:p w:rsidR="003D67A9" w:rsidRDefault="003D67A9">
      <w:pPr>
        <w:rPr>
          <w:b/>
        </w:rPr>
      </w:pPr>
    </w:p>
    <w:p w:rsidR="005A37C1" w:rsidRDefault="005A37C1">
      <w:pPr>
        <w:rPr>
          <w:b/>
        </w:rPr>
      </w:pPr>
    </w:p>
    <w:p w:rsidR="005A37C1" w:rsidRDefault="005A37C1">
      <w:pPr>
        <w:rPr>
          <w:b/>
        </w:rPr>
      </w:pPr>
    </w:p>
    <w:p w:rsidR="005A37C1" w:rsidRDefault="005A37C1">
      <w:pPr>
        <w:rPr>
          <w:b/>
        </w:rPr>
      </w:pPr>
    </w:p>
    <w:p w:rsidR="00145274" w:rsidRDefault="004D482B">
      <w:r>
        <w:rPr>
          <w:b/>
        </w:rPr>
        <w:lastRenderedPageBreak/>
        <w:t xml:space="preserve">Week </w:t>
      </w:r>
      <w:r w:rsidR="00593408">
        <w:rPr>
          <w:b/>
        </w:rPr>
        <w:t>6,</w:t>
      </w:r>
      <w:r w:rsidR="00800505">
        <w:t xml:space="preserve"> </w:t>
      </w:r>
      <w:r w:rsidR="00145274" w:rsidRPr="006A45F9">
        <w:rPr>
          <w:b/>
        </w:rPr>
        <w:t xml:space="preserve">October </w:t>
      </w:r>
      <w:r w:rsidR="003D67A9">
        <w:rPr>
          <w:b/>
        </w:rPr>
        <w:t>11</w:t>
      </w:r>
    </w:p>
    <w:p w:rsidR="00C32B16" w:rsidRPr="00C32B16" w:rsidRDefault="00C32B16" w:rsidP="00B94446">
      <w:pPr>
        <w:rPr>
          <w:u w:val="single"/>
        </w:rPr>
      </w:pPr>
      <w:r w:rsidRPr="003B6DA0">
        <w:rPr>
          <w:b/>
          <w:u w:val="single"/>
        </w:rPr>
        <w:t>FIRST PAPER DUE AT BEGINNING OF CLASS</w:t>
      </w:r>
    </w:p>
    <w:p w:rsidR="00B94446" w:rsidRPr="002077C0" w:rsidRDefault="00B94446" w:rsidP="00B94446">
      <w:pPr>
        <w:rPr>
          <w:b/>
        </w:rPr>
      </w:pPr>
      <w:r w:rsidRPr="002077C0">
        <w:rPr>
          <w:b/>
          <w:i/>
          <w:sz w:val="28"/>
        </w:rPr>
        <w:t>Postmodernism</w:t>
      </w:r>
    </w:p>
    <w:p w:rsidR="006A45F9" w:rsidRPr="00CE0F91" w:rsidRDefault="006A45F9" w:rsidP="006A45F9">
      <w:pPr>
        <w:pStyle w:val="ColorfulList-Accent1"/>
        <w:numPr>
          <w:ilvl w:val="0"/>
          <w:numId w:val="10"/>
        </w:numPr>
      </w:pPr>
      <w:r w:rsidRPr="00CE0F91">
        <w:t>Zygmunt Bauman, “Postmodernity, Or Living with Ambivalence,” in</w:t>
      </w:r>
      <w:r w:rsidRPr="00CE0F91">
        <w:rPr>
          <w:i/>
        </w:rPr>
        <w:t xml:space="preserve"> A Postmodern Reader</w:t>
      </w:r>
      <w:r w:rsidRPr="00CE0F91">
        <w:t>, ed. Joseph Natoli and Linda Hutcheon (Albany: SUNY Press, 1993), 9–24</w:t>
      </w:r>
    </w:p>
    <w:p w:rsidR="006A45F9" w:rsidRPr="00CE0F91" w:rsidRDefault="006A45F9" w:rsidP="006A45F9">
      <w:pPr>
        <w:pStyle w:val="ColorfulList-Accent1"/>
        <w:numPr>
          <w:ilvl w:val="0"/>
          <w:numId w:val="10"/>
        </w:numPr>
      </w:pPr>
      <w:r w:rsidRPr="00CE0F91">
        <w:t xml:space="preserve">Michel Foucault, “Excerpts from </w:t>
      </w:r>
      <w:r w:rsidRPr="00CE0F91">
        <w:rPr>
          <w:i/>
        </w:rPr>
        <w:t>The History of Sexuality</w:t>
      </w:r>
      <w:r w:rsidRPr="00CE0F91">
        <w:t xml:space="preserve">,” in </w:t>
      </w:r>
      <w:r w:rsidRPr="00CE0F91">
        <w:rPr>
          <w:i/>
        </w:rPr>
        <w:t>A Postmodern Reader</w:t>
      </w:r>
      <w:r w:rsidRPr="00CE0F91">
        <w:t>, 333–41</w:t>
      </w:r>
    </w:p>
    <w:p w:rsidR="006A45F9" w:rsidRPr="00CE0F91" w:rsidRDefault="006A45F9" w:rsidP="006A45F9">
      <w:pPr>
        <w:pStyle w:val="ColorfulList-Accent1"/>
        <w:numPr>
          <w:ilvl w:val="0"/>
          <w:numId w:val="10"/>
        </w:numPr>
      </w:pPr>
      <w:r w:rsidRPr="00CE0F91">
        <w:t xml:space="preserve">Geoff Danaher et al., </w:t>
      </w:r>
      <w:r w:rsidRPr="00CE0F91">
        <w:rPr>
          <w:i/>
        </w:rPr>
        <w:t xml:space="preserve">Understanding </w:t>
      </w:r>
      <w:r w:rsidR="00C4513D" w:rsidRPr="00CE0F91">
        <w:rPr>
          <w:i/>
        </w:rPr>
        <w:t>Foucault</w:t>
      </w:r>
      <w:r w:rsidR="00C4513D" w:rsidRPr="00CE0F91">
        <w:t>,</w:t>
      </w:r>
      <w:r w:rsidRPr="00CE0F91">
        <w:t xml:space="preserve"> Chapter 2</w:t>
      </w:r>
    </w:p>
    <w:p w:rsidR="006A45F9" w:rsidRPr="00CE0F91" w:rsidRDefault="006A45F9" w:rsidP="006A45F9">
      <w:pPr>
        <w:pStyle w:val="ColorfulList-Accent1"/>
        <w:numPr>
          <w:ilvl w:val="0"/>
          <w:numId w:val="10"/>
        </w:numPr>
      </w:pPr>
      <w:r w:rsidRPr="00CE0F91">
        <w:t xml:space="preserve">Jean Baudrillard, “The Precession of Simulacra,” in </w:t>
      </w:r>
      <w:r w:rsidRPr="00CE0F91">
        <w:rPr>
          <w:i/>
        </w:rPr>
        <w:t>A Postmodern Reader</w:t>
      </w:r>
      <w:r w:rsidRPr="00CE0F91">
        <w:t>, 342–75</w:t>
      </w:r>
    </w:p>
    <w:p w:rsidR="006A45F9" w:rsidRPr="00CE0F91" w:rsidRDefault="006A45F9" w:rsidP="006A45F9">
      <w:pPr>
        <w:pStyle w:val="ColorfulList-Accent1"/>
        <w:numPr>
          <w:ilvl w:val="0"/>
          <w:numId w:val="10"/>
        </w:numPr>
      </w:pPr>
      <w:r w:rsidRPr="00CE0F91">
        <w:t xml:space="preserve">John Toews, “Intellectual History after the Linguistic Turn: The Autonomy of Meaning and the Irreducibility of Experience,” </w:t>
      </w:r>
      <w:r w:rsidRPr="00CE0F91">
        <w:rPr>
          <w:i/>
        </w:rPr>
        <w:t>American Historical Review</w:t>
      </w:r>
      <w:r w:rsidRPr="00CE0F91">
        <w:t xml:space="preserve"> 92, no. 4 (October 1987): 879–907</w:t>
      </w:r>
    </w:p>
    <w:p w:rsidR="006A45F9" w:rsidRPr="00CE0F91" w:rsidRDefault="006A45F9" w:rsidP="006A45F9">
      <w:pPr>
        <w:pStyle w:val="ColorfulList-Accent1"/>
        <w:numPr>
          <w:ilvl w:val="0"/>
          <w:numId w:val="10"/>
        </w:numPr>
      </w:pPr>
      <w:r w:rsidRPr="00CE0F91">
        <w:t xml:space="preserve">Hayden White, “Postmodernism and Textual Anxieties,” in </w:t>
      </w:r>
      <w:r w:rsidRPr="00CE0F91">
        <w:rPr>
          <w:i/>
        </w:rPr>
        <w:t>The Postmodern Challenge: Perspectives East and West</w:t>
      </w:r>
      <w:r w:rsidRPr="00CE0F91">
        <w:t>, ed. Nina Witszek and Bo Strath (London: Sage, 1999), 27–45</w:t>
      </w:r>
    </w:p>
    <w:p w:rsidR="006A45F9" w:rsidRPr="00CE0F91" w:rsidRDefault="006A45F9" w:rsidP="006A45F9">
      <w:pPr>
        <w:pStyle w:val="ColorfulList-Accent1"/>
        <w:numPr>
          <w:ilvl w:val="0"/>
          <w:numId w:val="10"/>
        </w:numPr>
      </w:pPr>
      <w:r w:rsidRPr="00CE0F91">
        <w:t xml:space="preserve">Gertrude Himmelfarb, “Postmodernist History,” in Himmelfarb, </w:t>
      </w:r>
      <w:r w:rsidRPr="00CE0F91">
        <w:rPr>
          <w:i/>
        </w:rPr>
        <w:t>Looking into the Abyss: Untimely Thoughts on Culture and Society</w:t>
      </w:r>
      <w:r w:rsidRPr="00CE0F91">
        <w:t xml:space="preserve"> (New York: Knopf, 1994)</w:t>
      </w:r>
    </w:p>
    <w:p w:rsidR="006A45F9" w:rsidRPr="00CE0F91" w:rsidRDefault="006A45F9" w:rsidP="006A45F9">
      <w:pPr>
        <w:pStyle w:val="ColorfulList-Accent1"/>
        <w:numPr>
          <w:ilvl w:val="0"/>
          <w:numId w:val="10"/>
        </w:numPr>
      </w:pPr>
      <w:r w:rsidRPr="00CE0F91">
        <w:t xml:space="preserve">Joyce Appleby, Lynn Hunt, and Margaret Jacob, “Postmodernism and the Crisis of Modernity,” in </w:t>
      </w:r>
      <w:r w:rsidRPr="00CE0F91">
        <w:rPr>
          <w:i/>
        </w:rPr>
        <w:t>Telling the Truth About History</w:t>
      </w:r>
      <w:r w:rsidRPr="00CE0F91">
        <w:t xml:space="preserve"> (New York: Norton, 1995), 198–237</w:t>
      </w:r>
    </w:p>
    <w:p w:rsidR="002E3BA3" w:rsidRDefault="002E3BA3"/>
    <w:p w:rsidR="004D482B" w:rsidRDefault="00593408">
      <w:r>
        <w:rPr>
          <w:b/>
        </w:rPr>
        <w:t>Week 7,</w:t>
      </w:r>
      <w:r w:rsidR="00800505">
        <w:t xml:space="preserve"> </w:t>
      </w:r>
      <w:r w:rsidR="00145274" w:rsidRPr="006A45F9">
        <w:rPr>
          <w:b/>
        </w:rPr>
        <w:t>October 1</w:t>
      </w:r>
      <w:r w:rsidR="003D67A9">
        <w:rPr>
          <w:b/>
        </w:rPr>
        <w:t>8</w:t>
      </w:r>
    </w:p>
    <w:p w:rsidR="00B94446" w:rsidRPr="002077C0" w:rsidRDefault="00377402" w:rsidP="00B94446">
      <w:pPr>
        <w:rPr>
          <w:b/>
          <w:u w:val="single"/>
        </w:rPr>
      </w:pPr>
      <w:r>
        <w:rPr>
          <w:b/>
          <w:i/>
          <w:sz w:val="28"/>
        </w:rPr>
        <w:t xml:space="preserve">The </w:t>
      </w:r>
      <w:r w:rsidR="00B94446" w:rsidRPr="002077C0">
        <w:rPr>
          <w:b/>
          <w:i/>
          <w:sz w:val="28"/>
        </w:rPr>
        <w:t>History</w:t>
      </w:r>
      <w:r>
        <w:rPr>
          <w:b/>
          <w:i/>
          <w:sz w:val="28"/>
        </w:rPr>
        <w:t xml:space="preserve"> of Women</w:t>
      </w:r>
      <w:r w:rsidR="00B94446" w:rsidRPr="002077C0">
        <w:rPr>
          <w:b/>
          <w:i/>
          <w:sz w:val="28"/>
        </w:rPr>
        <w:t>,</w:t>
      </w:r>
      <w:r>
        <w:rPr>
          <w:b/>
          <w:i/>
          <w:sz w:val="28"/>
        </w:rPr>
        <w:t xml:space="preserve"> History of</w:t>
      </w:r>
      <w:r w:rsidR="00B94446" w:rsidRPr="002077C0">
        <w:rPr>
          <w:b/>
          <w:i/>
          <w:sz w:val="28"/>
        </w:rPr>
        <w:t xml:space="preserve"> Gender,</w:t>
      </w:r>
      <w:r w:rsidR="002077C0">
        <w:rPr>
          <w:b/>
          <w:i/>
          <w:sz w:val="28"/>
        </w:rPr>
        <w:t xml:space="preserve"> and</w:t>
      </w:r>
      <w:r>
        <w:rPr>
          <w:b/>
          <w:i/>
          <w:sz w:val="28"/>
        </w:rPr>
        <w:t xml:space="preserve"> History of</w:t>
      </w:r>
      <w:r w:rsidR="00B94446" w:rsidRPr="002077C0">
        <w:rPr>
          <w:b/>
          <w:i/>
          <w:sz w:val="28"/>
        </w:rPr>
        <w:t xml:space="preserve"> Sexuality</w:t>
      </w:r>
    </w:p>
    <w:p w:rsidR="007467EE" w:rsidRPr="00CE0F91" w:rsidRDefault="007467EE" w:rsidP="007467EE">
      <w:pPr>
        <w:pStyle w:val="ColorfulList-Accent1"/>
        <w:numPr>
          <w:ilvl w:val="0"/>
          <w:numId w:val="12"/>
        </w:numPr>
      </w:pPr>
      <w:r w:rsidRPr="00CE0F91">
        <w:t xml:space="preserve">Elizabeth Fox-Genovese, “Gender, Class, and Power: Some Theoretical Considerations,” </w:t>
      </w:r>
      <w:r w:rsidRPr="00CE0F91">
        <w:rPr>
          <w:i/>
        </w:rPr>
        <w:t>The History Teacher</w:t>
      </w:r>
      <w:r w:rsidRPr="00CE0F91">
        <w:t xml:space="preserve"> 15, no. 2 (February 1982): 255–76</w:t>
      </w:r>
    </w:p>
    <w:p w:rsidR="007467EE" w:rsidRPr="00CE0F91" w:rsidRDefault="007467EE" w:rsidP="007467EE">
      <w:pPr>
        <w:pStyle w:val="ColorfulList-Accent1"/>
        <w:numPr>
          <w:ilvl w:val="0"/>
          <w:numId w:val="12"/>
        </w:numPr>
      </w:pPr>
      <w:r w:rsidRPr="00CE0F91">
        <w:t xml:space="preserve">Joan W. Scott, “Gender: A Useful Category of Analysis,” </w:t>
      </w:r>
      <w:r w:rsidRPr="00CE0F91">
        <w:rPr>
          <w:i/>
        </w:rPr>
        <w:t>American Historical Review</w:t>
      </w:r>
      <w:r w:rsidRPr="00CE0F91">
        <w:t xml:space="preserve"> 91, no. 5 (December 1986): 1053–75</w:t>
      </w:r>
    </w:p>
    <w:p w:rsidR="007467EE" w:rsidRPr="00CE0F91" w:rsidRDefault="007467EE" w:rsidP="007467EE">
      <w:pPr>
        <w:pStyle w:val="ColorfulList-Accent1"/>
        <w:numPr>
          <w:ilvl w:val="0"/>
          <w:numId w:val="12"/>
        </w:numPr>
      </w:pPr>
      <w:r w:rsidRPr="00CE0F91">
        <w:t xml:space="preserve">Linda Kerber, “Separate Spheres, Female Worlds, Woman’s Place: The Rhetoric of Women’s History,” </w:t>
      </w:r>
      <w:r w:rsidRPr="00CE0F91">
        <w:rPr>
          <w:i/>
        </w:rPr>
        <w:t>Journal of American History</w:t>
      </w:r>
      <w:r w:rsidRPr="00CE0F91">
        <w:t xml:space="preserve"> 75, no. 1 (June 1988): 9–39</w:t>
      </w:r>
    </w:p>
    <w:p w:rsidR="007467EE" w:rsidRPr="00CE0F91" w:rsidRDefault="007467EE" w:rsidP="007467EE">
      <w:pPr>
        <w:pStyle w:val="ColorfulList-Accent1"/>
        <w:numPr>
          <w:ilvl w:val="0"/>
          <w:numId w:val="12"/>
        </w:numPr>
      </w:pPr>
      <w:r w:rsidRPr="00CE0F91">
        <w:t xml:space="preserve">Emily Rosenberg, “Gender,” </w:t>
      </w:r>
      <w:r w:rsidRPr="00CE0F91">
        <w:rPr>
          <w:i/>
        </w:rPr>
        <w:t>Journal of American History</w:t>
      </w:r>
      <w:r w:rsidRPr="00CE0F91">
        <w:t xml:space="preserve"> 77, no. 1 (June 1990): 116–24</w:t>
      </w:r>
    </w:p>
    <w:p w:rsidR="007467EE" w:rsidRPr="00CE0F91" w:rsidRDefault="007467EE" w:rsidP="007467EE">
      <w:pPr>
        <w:pStyle w:val="ColorfulList-Accent1"/>
        <w:numPr>
          <w:ilvl w:val="0"/>
          <w:numId w:val="12"/>
        </w:numPr>
      </w:pPr>
      <w:r w:rsidRPr="00CE0F91">
        <w:t xml:space="preserve">Kathleen Brown, “Brave New Worlds: Women’s and Gender History,” </w:t>
      </w:r>
      <w:r w:rsidRPr="00CE0F91">
        <w:rPr>
          <w:i/>
        </w:rPr>
        <w:t>William and Mary Quarterly</w:t>
      </w:r>
      <w:r w:rsidRPr="00CE0F91">
        <w:t xml:space="preserve"> 50, no. 2 (April 1993): 311–28</w:t>
      </w:r>
    </w:p>
    <w:p w:rsidR="007467EE" w:rsidRPr="00CE0F91" w:rsidRDefault="007467EE" w:rsidP="007467EE">
      <w:pPr>
        <w:pStyle w:val="ColorfulList-Accent1"/>
        <w:numPr>
          <w:ilvl w:val="0"/>
          <w:numId w:val="12"/>
        </w:numPr>
      </w:pPr>
      <w:r w:rsidRPr="00CE0F91">
        <w:t xml:space="preserve">Carolyn Dean, “The Productive Hypothesis: Foucault, Gender, and the History of Sexuality,” </w:t>
      </w:r>
      <w:r w:rsidRPr="00CE0F91">
        <w:rPr>
          <w:i/>
        </w:rPr>
        <w:t>History and Theory</w:t>
      </w:r>
      <w:r w:rsidRPr="00CE0F91">
        <w:t xml:space="preserve"> 33, no. 3 (October 1994): 271–96 </w:t>
      </w:r>
    </w:p>
    <w:p w:rsidR="007467EE" w:rsidRPr="00CE0F91" w:rsidRDefault="007467EE" w:rsidP="007467EE">
      <w:pPr>
        <w:pStyle w:val="ColorfulList-Accent1"/>
        <w:numPr>
          <w:ilvl w:val="0"/>
          <w:numId w:val="12"/>
        </w:numPr>
      </w:pPr>
      <w:r w:rsidRPr="00CE0F91">
        <w:t xml:space="preserve">Nancy Isenberg, “Second Thoughts on Gender and Women’s History,” </w:t>
      </w:r>
      <w:r w:rsidRPr="00CE0F91">
        <w:rPr>
          <w:i/>
        </w:rPr>
        <w:t>American Studies</w:t>
      </w:r>
      <w:r w:rsidRPr="00CE0F91">
        <w:t xml:space="preserve"> 36, no. 1 (Spring 1995): 93–103</w:t>
      </w:r>
    </w:p>
    <w:p w:rsidR="007467EE" w:rsidRPr="00CE0F91" w:rsidRDefault="007467EE" w:rsidP="007467EE">
      <w:pPr>
        <w:pStyle w:val="ColorfulList-Accent1"/>
        <w:numPr>
          <w:ilvl w:val="0"/>
          <w:numId w:val="12"/>
        </w:numPr>
      </w:pPr>
      <w:r w:rsidRPr="00CE0F91">
        <w:t xml:space="preserve">Joanne Meyerowitz, “A History of ‘Gender,’” </w:t>
      </w:r>
      <w:r w:rsidRPr="00CE0F91">
        <w:rPr>
          <w:i/>
        </w:rPr>
        <w:t>American Historical Review</w:t>
      </w:r>
      <w:r w:rsidRPr="00CE0F91">
        <w:t xml:space="preserve"> 113, no. 5 (December 2008): 1346–56</w:t>
      </w:r>
    </w:p>
    <w:p w:rsidR="005A3EB8" w:rsidRPr="00BA2D3E" w:rsidRDefault="007467EE" w:rsidP="00BA2D3E">
      <w:pPr>
        <w:pStyle w:val="ColorfulList-Accent1"/>
        <w:numPr>
          <w:ilvl w:val="0"/>
          <w:numId w:val="12"/>
        </w:numPr>
        <w:rPr>
          <w:u w:val="single"/>
        </w:rPr>
      </w:pPr>
      <w:r w:rsidRPr="00CE0F91">
        <w:t xml:space="preserve">Jane Sherron De Hart and Linda Kerber, “Introduction: Gender and the New Women’s History,” in </w:t>
      </w:r>
      <w:r w:rsidRPr="00CE0F91">
        <w:rPr>
          <w:i/>
        </w:rPr>
        <w:t>Woman’s America: Refocusing the Past</w:t>
      </w:r>
      <w:r w:rsidRPr="00CE0F91">
        <w:t>, ed. Linda Kerber et al. (New York: Oxford University Press, 2010)</w:t>
      </w:r>
    </w:p>
    <w:p w:rsidR="00DB6773" w:rsidRDefault="00DB6773">
      <w:pPr>
        <w:rPr>
          <w:b/>
        </w:rPr>
      </w:pPr>
    </w:p>
    <w:p w:rsidR="005A37C1" w:rsidRDefault="005A37C1">
      <w:pPr>
        <w:rPr>
          <w:b/>
        </w:rPr>
      </w:pPr>
    </w:p>
    <w:p w:rsidR="005A37C1" w:rsidRDefault="005A37C1">
      <w:pPr>
        <w:rPr>
          <w:b/>
        </w:rPr>
      </w:pPr>
    </w:p>
    <w:p w:rsidR="005A37C1" w:rsidRDefault="005A37C1">
      <w:pPr>
        <w:rPr>
          <w:b/>
        </w:rPr>
      </w:pPr>
    </w:p>
    <w:p w:rsidR="00E32131" w:rsidRPr="00800505" w:rsidRDefault="00BA6C35">
      <w:pPr>
        <w:rPr>
          <w:b/>
          <w:sz w:val="28"/>
          <w:szCs w:val="28"/>
        </w:rPr>
      </w:pPr>
      <w:r>
        <w:rPr>
          <w:b/>
        </w:rPr>
        <w:lastRenderedPageBreak/>
        <w:t xml:space="preserve">Week </w:t>
      </w:r>
      <w:r w:rsidR="00593408">
        <w:rPr>
          <w:b/>
        </w:rPr>
        <w:t>8,</w:t>
      </w:r>
      <w:r w:rsidR="00800505">
        <w:t xml:space="preserve"> </w:t>
      </w:r>
      <w:r w:rsidR="00800505" w:rsidRPr="007467EE">
        <w:rPr>
          <w:b/>
        </w:rPr>
        <w:t xml:space="preserve">October </w:t>
      </w:r>
      <w:r w:rsidR="00145274" w:rsidRPr="007467EE">
        <w:rPr>
          <w:b/>
        </w:rPr>
        <w:t>2</w:t>
      </w:r>
      <w:r w:rsidR="003D67A9">
        <w:rPr>
          <w:b/>
        </w:rPr>
        <w:t>5</w:t>
      </w:r>
    </w:p>
    <w:p w:rsidR="002077C0" w:rsidRPr="002077C0" w:rsidRDefault="00B94446" w:rsidP="00B94446">
      <w:pPr>
        <w:rPr>
          <w:b/>
        </w:rPr>
      </w:pPr>
      <w:r w:rsidRPr="002077C0">
        <w:rPr>
          <w:b/>
          <w:i/>
          <w:sz w:val="28"/>
        </w:rPr>
        <w:t>Nationalism</w:t>
      </w:r>
    </w:p>
    <w:p w:rsidR="007467EE" w:rsidRPr="00CE0F91" w:rsidRDefault="007467EE" w:rsidP="007467EE">
      <w:pPr>
        <w:pStyle w:val="ColorfulList-Accent1"/>
        <w:numPr>
          <w:ilvl w:val="0"/>
          <w:numId w:val="8"/>
        </w:numPr>
      </w:pPr>
      <w:r w:rsidRPr="00CE0F91">
        <w:t xml:space="preserve">Anderson, </w:t>
      </w:r>
      <w:r w:rsidRPr="00CE0F91">
        <w:rPr>
          <w:i/>
        </w:rPr>
        <w:t>Imagined Communities</w:t>
      </w:r>
    </w:p>
    <w:p w:rsidR="007467EE" w:rsidRPr="00CE0F91" w:rsidRDefault="007467EE" w:rsidP="007467EE">
      <w:pPr>
        <w:pStyle w:val="ColorfulList-Accent1"/>
        <w:numPr>
          <w:ilvl w:val="0"/>
          <w:numId w:val="8"/>
        </w:numPr>
      </w:pPr>
      <w:r w:rsidRPr="00CE0F91">
        <w:t xml:space="preserve">Ernest Gellner, “Nationalism and Modernization,” in </w:t>
      </w:r>
      <w:r w:rsidRPr="00CE0F91">
        <w:rPr>
          <w:i/>
        </w:rPr>
        <w:t>Nationalism</w:t>
      </w:r>
      <w:r w:rsidRPr="00CE0F91">
        <w:t xml:space="preserve"> (Oxford Readers), ed. John Hutchinson and Anthony Smith (Oxford: Oxford University Press, 1994), 55–62 </w:t>
      </w:r>
    </w:p>
    <w:p w:rsidR="007467EE" w:rsidRPr="00CE0F91" w:rsidRDefault="007467EE" w:rsidP="007467EE">
      <w:pPr>
        <w:pStyle w:val="ColorfulList-Accent1"/>
        <w:numPr>
          <w:ilvl w:val="0"/>
          <w:numId w:val="8"/>
        </w:numPr>
      </w:pPr>
      <w:r w:rsidRPr="00CE0F91">
        <w:t xml:space="preserve">Eric Hobsbawm, “The Nation as Invented Tradition,” in </w:t>
      </w:r>
      <w:r w:rsidRPr="00CE0F91">
        <w:rPr>
          <w:i/>
        </w:rPr>
        <w:t>Nationalism</w:t>
      </w:r>
      <w:r w:rsidRPr="00CE0F91">
        <w:t>, 76–82</w:t>
      </w:r>
    </w:p>
    <w:p w:rsidR="007467EE" w:rsidRPr="00CE0F91" w:rsidRDefault="007467EE" w:rsidP="007467EE">
      <w:pPr>
        <w:pStyle w:val="ColorfulList-Accent1"/>
        <w:numPr>
          <w:ilvl w:val="0"/>
          <w:numId w:val="8"/>
        </w:numPr>
      </w:pPr>
      <w:r w:rsidRPr="00CE0F91">
        <w:t xml:space="preserve">Excerpts from Anthony Smith, </w:t>
      </w:r>
      <w:r w:rsidRPr="00CE0F91">
        <w:rPr>
          <w:i/>
        </w:rPr>
        <w:t>The Nation in History: Historiographical Debates about Ethnicity and Nationalism</w:t>
      </w:r>
      <w:r w:rsidRPr="00CE0F91">
        <w:t xml:space="preserve"> </w:t>
      </w:r>
      <w:r>
        <w:t>(Hanover, NH: University Press of New England, 2000)</w:t>
      </w:r>
    </w:p>
    <w:p w:rsidR="00145274" w:rsidRDefault="00145274" w:rsidP="00145274">
      <w:pPr>
        <w:rPr>
          <w:b/>
          <w:sz w:val="28"/>
        </w:rPr>
      </w:pPr>
    </w:p>
    <w:p w:rsidR="00EE33B8" w:rsidRDefault="000D50A6" w:rsidP="00EE33B8">
      <w:r>
        <w:rPr>
          <w:b/>
        </w:rPr>
        <w:t xml:space="preserve">Week </w:t>
      </w:r>
      <w:r w:rsidR="00593408">
        <w:rPr>
          <w:b/>
        </w:rPr>
        <w:t>9,</w:t>
      </w:r>
      <w:r w:rsidR="00800505">
        <w:t xml:space="preserve"> </w:t>
      </w:r>
      <w:r w:rsidR="003D67A9">
        <w:rPr>
          <w:b/>
        </w:rPr>
        <w:t>November</w:t>
      </w:r>
      <w:r w:rsidR="00800505" w:rsidRPr="007467EE">
        <w:rPr>
          <w:b/>
        </w:rPr>
        <w:t xml:space="preserve"> </w:t>
      </w:r>
      <w:r w:rsidR="003D67A9">
        <w:rPr>
          <w:b/>
        </w:rPr>
        <w:t>1</w:t>
      </w:r>
    </w:p>
    <w:p w:rsidR="002077C0" w:rsidRPr="002077C0" w:rsidRDefault="00B94446" w:rsidP="00B94446">
      <w:pPr>
        <w:rPr>
          <w:b/>
        </w:rPr>
      </w:pPr>
      <w:r w:rsidRPr="002077C0">
        <w:rPr>
          <w:b/>
          <w:i/>
          <w:sz w:val="28"/>
        </w:rPr>
        <w:t>Postcolonialism</w:t>
      </w:r>
    </w:p>
    <w:p w:rsidR="007467EE" w:rsidRDefault="007467EE" w:rsidP="007467EE">
      <w:pPr>
        <w:pStyle w:val="ColorfulList-Accent1"/>
        <w:numPr>
          <w:ilvl w:val="0"/>
          <w:numId w:val="8"/>
        </w:numPr>
      </w:pPr>
      <w:r w:rsidRPr="00CE0F91">
        <w:t xml:space="preserve">Said, </w:t>
      </w:r>
      <w:r w:rsidRPr="00CE0F91">
        <w:rPr>
          <w:i/>
        </w:rPr>
        <w:t>Orientalism</w:t>
      </w:r>
      <w:r w:rsidR="00F93710">
        <w:t xml:space="preserve">, 1-110 </w:t>
      </w:r>
    </w:p>
    <w:p w:rsidR="007467EE" w:rsidRPr="00CE0F91" w:rsidRDefault="007467EE" w:rsidP="007467EE">
      <w:pPr>
        <w:pStyle w:val="ColorfulList-Accent1"/>
        <w:numPr>
          <w:ilvl w:val="0"/>
          <w:numId w:val="8"/>
        </w:numPr>
      </w:pPr>
      <w:r w:rsidRPr="00CE0F91">
        <w:t xml:space="preserve">Gayatri Chakravorty Spivak, “Can the Subaltern Speak?” in </w:t>
      </w:r>
      <w:r w:rsidRPr="00CE0F91">
        <w:rPr>
          <w:i/>
        </w:rPr>
        <w:t>Marxism and the Interpretation of Culture</w:t>
      </w:r>
      <w:r w:rsidRPr="00CE0F91">
        <w:t>, ed. Cary Nelson and Lawrence Grossberg (London: Macmillan, 1988)</w:t>
      </w:r>
      <w:r>
        <w:t>, 271–313</w:t>
      </w:r>
    </w:p>
    <w:p w:rsidR="007467EE" w:rsidRPr="00CE0F91" w:rsidRDefault="007467EE" w:rsidP="007467EE">
      <w:pPr>
        <w:pStyle w:val="ColorfulList-Accent1"/>
        <w:numPr>
          <w:ilvl w:val="0"/>
          <w:numId w:val="8"/>
        </w:numPr>
      </w:pPr>
      <w:r w:rsidRPr="00CE0F91">
        <w:t xml:space="preserve">Partha Chatterjee, “Whose Imagined Community?” in </w:t>
      </w:r>
      <w:r w:rsidRPr="00CE0F91">
        <w:rPr>
          <w:rFonts w:eastAsia="Times New Roman"/>
          <w:i/>
          <w:iCs/>
        </w:rPr>
        <w:t>Internationalizing Cultural Studies: An Anthology</w:t>
      </w:r>
      <w:r w:rsidRPr="00CE0F91">
        <w:rPr>
          <w:rFonts w:eastAsia="Times New Roman"/>
          <w:iCs/>
        </w:rPr>
        <w:t xml:space="preserve">, ed. </w:t>
      </w:r>
      <w:r w:rsidRPr="007E6EB2">
        <w:rPr>
          <w:rFonts w:eastAsia="Times New Roman"/>
        </w:rPr>
        <w:t>Ackbar Abbas</w:t>
      </w:r>
      <w:r w:rsidRPr="00CE0F91">
        <w:rPr>
          <w:rFonts w:eastAsia="Times New Roman"/>
        </w:rPr>
        <w:t xml:space="preserve"> and John Nguyet Erni (Malden, MA: Blackwell, 2005), 406–12</w:t>
      </w:r>
    </w:p>
    <w:p w:rsidR="007467EE" w:rsidRPr="00CE0F91" w:rsidRDefault="007467EE" w:rsidP="007467EE">
      <w:pPr>
        <w:pStyle w:val="ColorfulList-Accent1"/>
        <w:numPr>
          <w:ilvl w:val="0"/>
          <w:numId w:val="8"/>
        </w:numPr>
      </w:pPr>
      <w:r w:rsidRPr="00CE0F91">
        <w:rPr>
          <w:rFonts w:eastAsia="Times New Roman"/>
        </w:rPr>
        <w:t xml:space="preserve">Frederick Cooper, “Postcolonial Studies and the Study of History,” in </w:t>
      </w:r>
      <w:r w:rsidRPr="00CE0F91">
        <w:rPr>
          <w:rFonts w:eastAsia="Times New Roman"/>
          <w:i/>
        </w:rPr>
        <w:t>Postcolonial Studies and Beyond</w:t>
      </w:r>
      <w:r w:rsidRPr="00CE0F91">
        <w:rPr>
          <w:rFonts w:eastAsia="Times New Roman"/>
        </w:rPr>
        <w:t>, ed. Ania Loomba et al. (Durham: Duke University Press, 2006), 401–422</w:t>
      </w:r>
    </w:p>
    <w:p w:rsidR="007467EE" w:rsidRPr="00CE0F91" w:rsidRDefault="007467EE" w:rsidP="007467EE">
      <w:pPr>
        <w:pStyle w:val="ColorfulList-Accent1"/>
        <w:numPr>
          <w:ilvl w:val="0"/>
          <w:numId w:val="8"/>
        </w:numPr>
      </w:pPr>
      <w:r w:rsidRPr="00CE0F91">
        <w:t xml:space="preserve">D. A. Washbrook, “Orients and Occidents: Colonial Discourse and the Historiography of the British Empire,” in </w:t>
      </w:r>
      <w:r w:rsidRPr="00CE0F91">
        <w:rPr>
          <w:i/>
        </w:rPr>
        <w:t>The Oxford History of the British Empire</w:t>
      </w:r>
      <w:r w:rsidRPr="00CE0F91">
        <w:t xml:space="preserve">, vol. 5, </w:t>
      </w:r>
      <w:r w:rsidRPr="00CE0F91">
        <w:rPr>
          <w:i/>
        </w:rPr>
        <w:t>Historiography</w:t>
      </w:r>
      <w:r w:rsidRPr="00CE0F91">
        <w:t xml:space="preserve"> (New York: Oxford University Press, 2001), 596–611</w:t>
      </w:r>
    </w:p>
    <w:p w:rsidR="00B94446" w:rsidRDefault="00B94446" w:rsidP="00EE33B8"/>
    <w:p w:rsidR="00EE14F3" w:rsidRDefault="00B94446">
      <w:pPr>
        <w:rPr>
          <w:b/>
        </w:rPr>
      </w:pPr>
      <w:r>
        <w:rPr>
          <w:b/>
          <w:sz w:val="28"/>
        </w:rPr>
        <w:t xml:space="preserve">Unit II: </w:t>
      </w:r>
      <w:r w:rsidR="00EE14F3">
        <w:rPr>
          <w:b/>
          <w:sz w:val="28"/>
        </w:rPr>
        <w:t xml:space="preserve">The Instability of Historical Knowledge, or, </w:t>
      </w:r>
      <w:r w:rsidR="00EE14F3" w:rsidRPr="00146AEA">
        <w:rPr>
          <w:b/>
          <w:sz w:val="28"/>
          <w:szCs w:val="28"/>
        </w:rPr>
        <w:t>Problems in the Academy</w:t>
      </w:r>
      <w:r w:rsidR="00EE14F3">
        <w:rPr>
          <w:b/>
        </w:rPr>
        <w:t xml:space="preserve"> </w:t>
      </w:r>
    </w:p>
    <w:p w:rsidR="00EE14F3" w:rsidRDefault="00EE14F3">
      <w:pPr>
        <w:rPr>
          <w:b/>
        </w:rPr>
      </w:pPr>
    </w:p>
    <w:p w:rsidR="004D482B" w:rsidRDefault="004D482B">
      <w:r>
        <w:rPr>
          <w:b/>
        </w:rPr>
        <w:t>Week</w:t>
      </w:r>
      <w:r w:rsidR="00593408">
        <w:rPr>
          <w:b/>
        </w:rPr>
        <w:t xml:space="preserve"> 10,</w:t>
      </w:r>
      <w:r w:rsidR="00800505">
        <w:t xml:space="preserve"> </w:t>
      </w:r>
      <w:r w:rsidR="00145274" w:rsidRPr="007467EE">
        <w:rPr>
          <w:b/>
        </w:rPr>
        <w:t xml:space="preserve">November </w:t>
      </w:r>
      <w:r w:rsidR="003D67A9">
        <w:rPr>
          <w:b/>
        </w:rPr>
        <w:t>8</w:t>
      </w:r>
    </w:p>
    <w:p w:rsidR="002077C0" w:rsidRPr="002077C0" w:rsidRDefault="002077C0">
      <w:pPr>
        <w:rPr>
          <w:b/>
          <w:i/>
        </w:rPr>
      </w:pPr>
      <w:r w:rsidRPr="002077C0">
        <w:rPr>
          <w:b/>
          <w:i/>
          <w:sz w:val="28"/>
        </w:rPr>
        <w:t>The Holocaust as a Case Study</w:t>
      </w:r>
    </w:p>
    <w:p w:rsidR="004D482B" w:rsidRDefault="004D482B" w:rsidP="007467EE">
      <w:pPr>
        <w:numPr>
          <w:ilvl w:val="0"/>
          <w:numId w:val="13"/>
        </w:numPr>
      </w:pPr>
      <w:r>
        <w:t xml:space="preserve">Michael Shermer and Alex Grobman, </w:t>
      </w:r>
      <w:r>
        <w:rPr>
          <w:i/>
        </w:rPr>
        <w:t xml:space="preserve">Denying History: Who Says the Holocaust never Happened and Why Do They Say It? </w:t>
      </w:r>
    </w:p>
    <w:p w:rsidR="004D482B" w:rsidRDefault="004D482B"/>
    <w:p w:rsidR="004D482B" w:rsidRDefault="004D482B">
      <w:r>
        <w:rPr>
          <w:b/>
        </w:rPr>
        <w:t xml:space="preserve">Week </w:t>
      </w:r>
      <w:r w:rsidR="00593408">
        <w:rPr>
          <w:b/>
        </w:rPr>
        <w:t>11,</w:t>
      </w:r>
      <w:r w:rsidR="00800505">
        <w:t xml:space="preserve"> </w:t>
      </w:r>
      <w:r w:rsidR="00145274" w:rsidRPr="007467EE">
        <w:rPr>
          <w:b/>
        </w:rPr>
        <w:t>November 1</w:t>
      </w:r>
      <w:r w:rsidR="003D67A9">
        <w:rPr>
          <w:b/>
        </w:rPr>
        <w:t>5</w:t>
      </w:r>
    </w:p>
    <w:p w:rsidR="00C32B16" w:rsidRPr="00C32B16" w:rsidRDefault="00C32B16">
      <w:r w:rsidRPr="00F16DD5">
        <w:rPr>
          <w:b/>
          <w:u w:val="single"/>
        </w:rPr>
        <w:t>SECOND PAPER DUE AT BEGINNING OF CLASS</w:t>
      </w:r>
    </w:p>
    <w:p w:rsidR="002077C0" w:rsidRPr="002077C0" w:rsidRDefault="002077C0">
      <w:pPr>
        <w:rPr>
          <w:b/>
          <w:i/>
          <w:sz w:val="28"/>
          <w:szCs w:val="28"/>
        </w:rPr>
      </w:pPr>
      <w:r w:rsidRPr="002077C0">
        <w:rPr>
          <w:b/>
          <w:i/>
          <w:sz w:val="28"/>
          <w:szCs w:val="28"/>
        </w:rPr>
        <w:t>The Bellesiles Incident</w:t>
      </w:r>
    </w:p>
    <w:p w:rsidR="007467EE" w:rsidRPr="00CE0F91" w:rsidRDefault="007467EE" w:rsidP="007467EE">
      <w:pPr>
        <w:pStyle w:val="ColorfulList-Accent1"/>
        <w:numPr>
          <w:ilvl w:val="0"/>
          <w:numId w:val="9"/>
        </w:numPr>
      </w:pPr>
      <w:r w:rsidRPr="00CE0F91">
        <w:t xml:space="preserve">Michael Bellesiles, “The Origins of Gun Culture in the United States, 1760–1865,” </w:t>
      </w:r>
      <w:r w:rsidRPr="00CE0F91">
        <w:rPr>
          <w:i/>
        </w:rPr>
        <w:t>Journal of American History</w:t>
      </w:r>
      <w:r w:rsidRPr="00CE0F91">
        <w:t xml:space="preserve"> 83, no. 2 (September 1996): 424–55</w:t>
      </w:r>
    </w:p>
    <w:p w:rsidR="007467EE" w:rsidRPr="00CE0F91" w:rsidRDefault="007467EE" w:rsidP="007467EE">
      <w:pPr>
        <w:pStyle w:val="ColorfulList-Accent1"/>
        <w:numPr>
          <w:ilvl w:val="0"/>
          <w:numId w:val="9"/>
        </w:numPr>
      </w:pPr>
      <w:r w:rsidRPr="00CE0F91">
        <w:t xml:space="preserve">Michael Bellesiles, review of </w:t>
      </w:r>
      <w:r w:rsidRPr="00CE0F91">
        <w:rPr>
          <w:i/>
        </w:rPr>
        <w:t>To Keep and Bear Arms: The Origins of an Anglo-American Right</w:t>
      </w:r>
      <w:r w:rsidRPr="00CE0F91">
        <w:t xml:space="preserve">, by Joyce Lee Malcolm, </w:t>
      </w:r>
      <w:r w:rsidRPr="00CE0F91">
        <w:rPr>
          <w:i/>
        </w:rPr>
        <w:t>Law and History Review</w:t>
      </w:r>
      <w:r w:rsidRPr="00CE0F91">
        <w:t xml:space="preserve"> 14, no. 2 (Autumn 1996): 382–84</w:t>
      </w:r>
    </w:p>
    <w:p w:rsidR="007467EE" w:rsidRPr="00CE0F91" w:rsidRDefault="007467EE" w:rsidP="007467EE">
      <w:pPr>
        <w:pStyle w:val="ColorfulList-Accent1"/>
        <w:numPr>
          <w:ilvl w:val="0"/>
          <w:numId w:val="9"/>
        </w:numPr>
      </w:pPr>
      <w:r w:rsidRPr="00CE0F91">
        <w:lastRenderedPageBreak/>
        <w:t xml:space="preserve">Joyce Lee Malcolm, “Response to Bellesiles’s Review of </w:t>
      </w:r>
      <w:r w:rsidRPr="00CE0F91">
        <w:rPr>
          <w:i/>
        </w:rPr>
        <w:t>To Keep and Bear Arms: The Origins of an Anglo-American Right</w:t>
      </w:r>
      <w:r w:rsidRPr="00CE0F91">
        <w:t xml:space="preserve">,” </w:t>
      </w:r>
      <w:r w:rsidRPr="00CE0F91">
        <w:rPr>
          <w:i/>
        </w:rPr>
        <w:t>Law and History Review</w:t>
      </w:r>
      <w:r w:rsidRPr="00CE0F91">
        <w:t xml:space="preserve"> 15, no. 2 (Autumn 1997): 339–41</w:t>
      </w:r>
    </w:p>
    <w:p w:rsidR="007467EE" w:rsidRPr="00CE0F91" w:rsidRDefault="007467EE" w:rsidP="007467EE">
      <w:pPr>
        <w:pStyle w:val="ColorfulList-Accent1"/>
        <w:numPr>
          <w:ilvl w:val="0"/>
          <w:numId w:val="9"/>
        </w:numPr>
      </w:pPr>
      <w:r w:rsidRPr="00CE0F91">
        <w:t>Michael Bellesiles, “Reply to Malcolm,” ibid., 343–45</w:t>
      </w:r>
    </w:p>
    <w:p w:rsidR="007467EE" w:rsidRPr="00CE0F91" w:rsidRDefault="007467EE" w:rsidP="007467EE">
      <w:pPr>
        <w:pStyle w:val="ColorfulList-Accent1"/>
        <w:numPr>
          <w:ilvl w:val="0"/>
          <w:numId w:val="9"/>
        </w:numPr>
      </w:pPr>
      <w:r w:rsidRPr="00CE0F91">
        <w:t xml:space="preserve">“Historians and Guns,” forum in </w:t>
      </w:r>
      <w:r w:rsidRPr="00CE0F91">
        <w:rPr>
          <w:i/>
        </w:rPr>
        <w:t>William and Mary Quarterly</w:t>
      </w:r>
      <w:r w:rsidRPr="00CE0F91">
        <w:t xml:space="preserve"> 59, no. 1 (January 2002)</w:t>
      </w:r>
    </w:p>
    <w:p w:rsidR="007467EE" w:rsidRPr="00CE0F91" w:rsidRDefault="007467EE" w:rsidP="007467EE">
      <w:pPr>
        <w:pStyle w:val="ColorfulList-Accent1"/>
        <w:numPr>
          <w:ilvl w:val="1"/>
          <w:numId w:val="9"/>
        </w:numPr>
        <w:ind w:left="1080"/>
      </w:pPr>
      <w:r w:rsidRPr="00CE0F91">
        <w:t>Robert Gross, “Introduction,” 203–4</w:t>
      </w:r>
    </w:p>
    <w:p w:rsidR="007467EE" w:rsidRPr="00CE0F91" w:rsidRDefault="007467EE" w:rsidP="007467EE">
      <w:pPr>
        <w:pStyle w:val="ColorfulList-Accent1"/>
        <w:numPr>
          <w:ilvl w:val="1"/>
          <w:numId w:val="9"/>
        </w:numPr>
        <w:ind w:left="1080"/>
      </w:pPr>
      <w:r w:rsidRPr="00CE0F91">
        <w:t>Jack Rakove, “Words, Deeds, and Guns: ‘Arming America’ and the Second Amendment,” 205–210</w:t>
      </w:r>
    </w:p>
    <w:p w:rsidR="007467EE" w:rsidRPr="00CE0F91" w:rsidRDefault="007467EE" w:rsidP="007467EE">
      <w:pPr>
        <w:pStyle w:val="ColorfulList-Accent1"/>
        <w:numPr>
          <w:ilvl w:val="1"/>
          <w:numId w:val="9"/>
        </w:numPr>
        <w:ind w:left="1080"/>
      </w:pPr>
      <w:r w:rsidRPr="00CE0F91">
        <w:t>Gloria Main, “Many Things Forgotten: The Use of Probate Records in ‘Arming America,’” 211–16</w:t>
      </w:r>
    </w:p>
    <w:p w:rsidR="007467EE" w:rsidRPr="00CE0F91" w:rsidRDefault="007467EE" w:rsidP="007467EE">
      <w:pPr>
        <w:pStyle w:val="ColorfulList-Accent1"/>
        <w:numPr>
          <w:ilvl w:val="1"/>
          <w:numId w:val="9"/>
        </w:numPr>
        <w:ind w:left="1080"/>
      </w:pPr>
      <w:r w:rsidRPr="00CE0F91">
        <w:t>Ira Gruber, “Of Arms and Men: ‘Arming America’ and Military History,” 217–22</w:t>
      </w:r>
    </w:p>
    <w:p w:rsidR="007467EE" w:rsidRPr="00CE0F91" w:rsidRDefault="007467EE" w:rsidP="007467EE">
      <w:pPr>
        <w:pStyle w:val="ColorfulList-Accent1"/>
        <w:numPr>
          <w:ilvl w:val="1"/>
          <w:numId w:val="9"/>
        </w:numPr>
        <w:ind w:left="1080"/>
      </w:pPr>
      <w:r w:rsidRPr="00CE0F91">
        <w:t>Randolph Roth, “Guns, Gun Culture, and Homicide: The Relationship Between Firearms, the Uses of Firearms, and Interpersonal Violence,” 223–40</w:t>
      </w:r>
    </w:p>
    <w:p w:rsidR="007467EE" w:rsidRPr="00CE0F91" w:rsidRDefault="007467EE" w:rsidP="007467EE">
      <w:pPr>
        <w:pStyle w:val="ColorfulList-Accent1"/>
        <w:numPr>
          <w:ilvl w:val="1"/>
          <w:numId w:val="9"/>
        </w:numPr>
        <w:ind w:left="1080"/>
      </w:pPr>
      <w:r w:rsidRPr="00CE0F91">
        <w:t>Michael Bellesiles, “Exploring America’s Gun Culture,” 241–68</w:t>
      </w:r>
    </w:p>
    <w:p w:rsidR="007467EE" w:rsidRPr="00CE0F91" w:rsidRDefault="007467EE" w:rsidP="007467EE">
      <w:pPr>
        <w:pStyle w:val="ColorfulList-Accent1"/>
        <w:numPr>
          <w:ilvl w:val="0"/>
          <w:numId w:val="9"/>
        </w:numPr>
      </w:pPr>
      <w:r w:rsidRPr="00CE0F91">
        <w:t xml:space="preserve">James Lindgren, “Fall from Grace: </w:t>
      </w:r>
      <w:r w:rsidRPr="00CE0F91">
        <w:rPr>
          <w:i/>
        </w:rPr>
        <w:t>Arming America</w:t>
      </w:r>
      <w:r w:rsidRPr="00CE0F91">
        <w:t xml:space="preserve"> and the Bellesiles Scandal,” </w:t>
      </w:r>
      <w:r w:rsidRPr="00CE0F91">
        <w:rPr>
          <w:i/>
        </w:rPr>
        <w:t>Yale Law Journal</w:t>
      </w:r>
      <w:r w:rsidRPr="00CE0F91">
        <w:t xml:space="preserve"> 111, no. 8 (June 2002): 2195–249</w:t>
      </w:r>
    </w:p>
    <w:p w:rsidR="007467EE" w:rsidRPr="00CE0F91" w:rsidRDefault="007467EE" w:rsidP="007467EE">
      <w:pPr>
        <w:pStyle w:val="ColorfulList-Accent1"/>
        <w:numPr>
          <w:ilvl w:val="0"/>
          <w:numId w:val="9"/>
        </w:numPr>
      </w:pPr>
      <w:r w:rsidRPr="00CE0F91">
        <w:t xml:space="preserve">Jerome Sternstein, “‘Pulped’ Fiction: Michael Bellesiles and His Yellow Note Pads,” </w:t>
      </w:r>
      <w:r w:rsidRPr="00CE0F91">
        <w:rPr>
          <w:i/>
        </w:rPr>
        <w:t>History News Network</w:t>
      </w:r>
      <w:r w:rsidRPr="00CE0F91">
        <w:t xml:space="preserve"> </w:t>
      </w:r>
    </w:p>
    <w:p w:rsidR="007467EE" w:rsidRPr="00CE0F91" w:rsidRDefault="007467EE" w:rsidP="007467EE">
      <w:pPr>
        <w:pStyle w:val="ColorfulList-Accent1"/>
        <w:numPr>
          <w:ilvl w:val="0"/>
          <w:numId w:val="9"/>
        </w:numPr>
      </w:pPr>
      <w:r w:rsidRPr="00CE0F91">
        <w:t>Stanley Katz, Hannah Holborn Gray, and Laurel Thatcher Ulrich, “Report of the Investigative Committee in the Matter of Professor Michael Bellesiles,” pp. 1–19 [downloaded from http://www.emory.edu/news/Releases/Final_Report.pdf on 20 January 2014]</w:t>
      </w:r>
    </w:p>
    <w:p w:rsidR="007467EE" w:rsidRPr="00CE0F91" w:rsidRDefault="007467EE" w:rsidP="007467EE">
      <w:pPr>
        <w:pStyle w:val="ColorfulList-Accent1"/>
        <w:numPr>
          <w:ilvl w:val="0"/>
          <w:numId w:val="9"/>
        </w:numPr>
      </w:pPr>
      <w:r w:rsidRPr="00CE0F91">
        <w:t xml:space="preserve">Peter Charles Hoffer, </w:t>
      </w:r>
      <w:r w:rsidRPr="00CE0F91">
        <w:rPr>
          <w:i/>
        </w:rPr>
        <w:t>Past Imperfect: Facts, Fictions, and Fraud—American History from Bancroft to Ambrose, Bellesiles, Ellis, and Goodwin</w:t>
      </w:r>
      <w:r w:rsidRPr="00CE0F91">
        <w:t xml:space="preserve"> (New York: </w:t>
      </w:r>
      <w:r w:rsidR="00C4513D" w:rsidRPr="00CE0F91">
        <w:t>Public Affairs</w:t>
      </w:r>
      <w:r w:rsidRPr="00CE0F91">
        <w:t>, 2007), Chapter 5</w:t>
      </w:r>
    </w:p>
    <w:p w:rsidR="00D7026B" w:rsidRDefault="00D7026B"/>
    <w:p w:rsidR="000D50A6" w:rsidRDefault="004D482B">
      <w:r>
        <w:rPr>
          <w:b/>
        </w:rPr>
        <w:t xml:space="preserve">Week </w:t>
      </w:r>
      <w:r w:rsidR="00002836">
        <w:rPr>
          <w:b/>
        </w:rPr>
        <w:t>12</w:t>
      </w:r>
      <w:r w:rsidR="00593408">
        <w:rPr>
          <w:b/>
        </w:rPr>
        <w:t>,</w:t>
      </w:r>
      <w:r w:rsidR="00145274">
        <w:t xml:space="preserve"> </w:t>
      </w:r>
      <w:r w:rsidR="00145274" w:rsidRPr="007467EE">
        <w:rPr>
          <w:b/>
        </w:rPr>
        <w:t xml:space="preserve">November </w:t>
      </w:r>
      <w:r w:rsidR="003D67A9">
        <w:rPr>
          <w:b/>
        </w:rPr>
        <w:t>22</w:t>
      </w:r>
    </w:p>
    <w:p w:rsidR="003D67A9" w:rsidRPr="00002836" w:rsidRDefault="003D67A9" w:rsidP="003D67A9">
      <w:pPr>
        <w:rPr>
          <w:b/>
          <w:i/>
          <w:sz w:val="28"/>
          <w:szCs w:val="28"/>
        </w:rPr>
      </w:pPr>
      <w:r w:rsidRPr="003540F1">
        <w:rPr>
          <w:b/>
          <w:i/>
          <w:sz w:val="28"/>
          <w:szCs w:val="28"/>
        </w:rPr>
        <w:t xml:space="preserve">Thanksgiving Break--No Class Meeting </w:t>
      </w:r>
    </w:p>
    <w:p w:rsidR="007C3DEF" w:rsidRPr="007C3DEF" w:rsidRDefault="007C3DEF"/>
    <w:p w:rsidR="00002836" w:rsidRPr="001E415F" w:rsidRDefault="003D67A9" w:rsidP="00002836">
      <w:pPr>
        <w:rPr>
          <w:b/>
        </w:rPr>
      </w:pPr>
      <w:r>
        <w:rPr>
          <w:b/>
        </w:rPr>
        <w:t>Week 13, November 29</w:t>
      </w:r>
      <w:r w:rsidR="00002836" w:rsidRPr="001E415F">
        <w:rPr>
          <w:b/>
        </w:rPr>
        <w:t xml:space="preserve"> </w:t>
      </w:r>
    </w:p>
    <w:p w:rsidR="003D67A9" w:rsidRPr="002077C0" w:rsidRDefault="003D67A9" w:rsidP="003D67A9">
      <w:pPr>
        <w:rPr>
          <w:b/>
          <w:i/>
          <w:sz w:val="28"/>
          <w:szCs w:val="28"/>
        </w:rPr>
      </w:pPr>
      <w:r>
        <w:rPr>
          <w:b/>
          <w:i/>
          <w:sz w:val="28"/>
          <w:szCs w:val="28"/>
        </w:rPr>
        <w:t xml:space="preserve">History, </w:t>
      </w:r>
      <w:r w:rsidRPr="002077C0">
        <w:rPr>
          <w:b/>
          <w:i/>
          <w:sz w:val="28"/>
          <w:szCs w:val="28"/>
        </w:rPr>
        <w:t>Memory, and the Construction of Meaning</w:t>
      </w:r>
      <w:r>
        <w:rPr>
          <w:b/>
          <w:i/>
          <w:sz w:val="28"/>
          <w:szCs w:val="28"/>
        </w:rPr>
        <w:t xml:space="preserve"> I: Central America</w:t>
      </w:r>
    </w:p>
    <w:p w:rsidR="003D67A9" w:rsidRPr="003944FF" w:rsidRDefault="003D67A9" w:rsidP="003D67A9">
      <w:pPr>
        <w:rPr>
          <w:i/>
        </w:rPr>
      </w:pPr>
      <w:r>
        <w:t xml:space="preserve">Arturo Arias, ed., </w:t>
      </w:r>
      <w:r>
        <w:rPr>
          <w:i/>
        </w:rPr>
        <w:t>The</w:t>
      </w:r>
      <w:r>
        <w:t xml:space="preserve"> </w:t>
      </w:r>
      <w:r>
        <w:rPr>
          <w:i/>
        </w:rPr>
        <w:t>Rigoberta Menchú</w:t>
      </w:r>
      <w:r w:rsidRPr="00145274">
        <w:rPr>
          <w:i/>
        </w:rPr>
        <w:t xml:space="preserve"> </w:t>
      </w:r>
      <w:r>
        <w:rPr>
          <w:i/>
        </w:rPr>
        <w:t xml:space="preserve">Controversy </w:t>
      </w:r>
      <w:r>
        <w:t>[skip pp. 156-170; 251-269;309-350]</w:t>
      </w:r>
    </w:p>
    <w:p w:rsidR="00F75C3A" w:rsidRDefault="00F75C3A"/>
    <w:p w:rsidR="00D04465" w:rsidRDefault="00BA6C35">
      <w:r>
        <w:rPr>
          <w:b/>
        </w:rPr>
        <w:t xml:space="preserve">Week </w:t>
      </w:r>
      <w:r w:rsidR="00593408">
        <w:rPr>
          <w:b/>
        </w:rPr>
        <w:t>14,</w:t>
      </w:r>
      <w:r w:rsidR="00145274">
        <w:t xml:space="preserve"> </w:t>
      </w:r>
      <w:r w:rsidR="00145274" w:rsidRPr="007467EE">
        <w:rPr>
          <w:b/>
        </w:rPr>
        <w:t xml:space="preserve">December </w:t>
      </w:r>
      <w:r w:rsidR="003D67A9">
        <w:rPr>
          <w:b/>
        </w:rPr>
        <w:t>6</w:t>
      </w:r>
    </w:p>
    <w:p w:rsidR="002077C0" w:rsidRPr="002077C0" w:rsidRDefault="002077C0">
      <w:pPr>
        <w:rPr>
          <w:b/>
          <w:i/>
          <w:sz w:val="28"/>
          <w:szCs w:val="28"/>
        </w:rPr>
      </w:pPr>
      <w:r>
        <w:rPr>
          <w:b/>
          <w:i/>
          <w:sz w:val="28"/>
          <w:szCs w:val="28"/>
        </w:rPr>
        <w:t xml:space="preserve">History, </w:t>
      </w:r>
      <w:r w:rsidRPr="002077C0">
        <w:rPr>
          <w:b/>
          <w:i/>
          <w:sz w:val="28"/>
          <w:szCs w:val="28"/>
        </w:rPr>
        <w:t>Memory, and the Construction of Meaning</w:t>
      </w:r>
      <w:r>
        <w:rPr>
          <w:b/>
          <w:i/>
          <w:sz w:val="28"/>
          <w:szCs w:val="28"/>
        </w:rPr>
        <w:t xml:space="preserve"> II: The Old South</w:t>
      </w:r>
    </w:p>
    <w:p w:rsidR="00C2663C" w:rsidRDefault="00C2663C">
      <w:r>
        <w:t xml:space="preserve">David Blight, </w:t>
      </w:r>
      <w:r>
        <w:rPr>
          <w:i/>
        </w:rPr>
        <w:t>Race and Reunion</w:t>
      </w:r>
    </w:p>
    <w:p w:rsidR="002077C0" w:rsidRDefault="002077C0"/>
    <w:p w:rsidR="009E6220" w:rsidRDefault="00D77EB8">
      <w:pPr>
        <w:rPr>
          <w:b/>
        </w:rPr>
      </w:pPr>
      <w:r>
        <w:rPr>
          <w:b/>
        </w:rPr>
        <w:t xml:space="preserve">Week </w:t>
      </w:r>
      <w:r w:rsidR="00593408">
        <w:rPr>
          <w:b/>
        </w:rPr>
        <w:t>15,</w:t>
      </w:r>
      <w:r w:rsidR="00724EE1">
        <w:rPr>
          <w:b/>
        </w:rPr>
        <w:t xml:space="preserve"> </w:t>
      </w:r>
      <w:r w:rsidR="003D67A9">
        <w:rPr>
          <w:b/>
        </w:rPr>
        <w:t>December 13</w:t>
      </w:r>
    </w:p>
    <w:p w:rsidR="002077C0" w:rsidRPr="009E6220" w:rsidRDefault="002077C0">
      <w:pPr>
        <w:rPr>
          <w:b/>
        </w:rPr>
      </w:pPr>
      <w:r w:rsidRPr="002077C0">
        <w:rPr>
          <w:b/>
          <w:i/>
          <w:sz w:val="28"/>
          <w:szCs w:val="28"/>
        </w:rPr>
        <w:t>Summing U</w:t>
      </w:r>
      <w:r w:rsidR="009E6220">
        <w:rPr>
          <w:b/>
          <w:i/>
          <w:sz w:val="28"/>
          <w:szCs w:val="28"/>
        </w:rPr>
        <w:t>p</w:t>
      </w:r>
    </w:p>
    <w:p w:rsidR="00D04465" w:rsidRPr="00724EE1" w:rsidRDefault="00724EE1">
      <w:pPr>
        <w:rPr>
          <w:i/>
        </w:rPr>
      </w:pPr>
      <w:r>
        <w:t xml:space="preserve">Richard Evans, </w:t>
      </w:r>
      <w:r>
        <w:rPr>
          <w:i/>
        </w:rPr>
        <w:t>In Defense of History</w:t>
      </w:r>
    </w:p>
    <w:p w:rsidR="00AF0C48" w:rsidRDefault="00AF0C48"/>
    <w:p w:rsidR="00AF0C48" w:rsidRPr="00F16DD5" w:rsidRDefault="00F16DD5">
      <w:pPr>
        <w:rPr>
          <w:b/>
          <w:u w:val="single"/>
        </w:rPr>
      </w:pPr>
      <w:r w:rsidRPr="00F16DD5">
        <w:rPr>
          <w:b/>
          <w:u w:val="single"/>
        </w:rPr>
        <w:t>FINAL PAPER DUE DECEMBER 16 AT 5 P.M.</w:t>
      </w:r>
    </w:p>
    <w:sectPr w:rsidR="00AF0C48" w:rsidRPr="00F16DD5" w:rsidSect="00DB6773">
      <w:footerReference w:type="even" r:id="rId7"/>
      <w:footerReference w:type="default" r:id="rId8"/>
      <w:pgSz w:w="12240" w:h="15840"/>
      <w:pgMar w:top="1710" w:right="144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D1" w:rsidRDefault="001961D1">
      <w:r>
        <w:separator/>
      </w:r>
    </w:p>
  </w:endnote>
  <w:endnote w:type="continuationSeparator" w:id="0">
    <w:p w:rsidR="001961D1" w:rsidRDefault="001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A9" w:rsidRDefault="003D6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7A9" w:rsidRDefault="003D6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7A9" w:rsidRDefault="003D6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AB3">
      <w:rPr>
        <w:rStyle w:val="PageNumber"/>
        <w:noProof/>
      </w:rPr>
      <w:t>1</w:t>
    </w:r>
    <w:r>
      <w:rPr>
        <w:rStyle w:val="PageNumber"/>
      </w:rPr>
      <w:fldChar w:fldCharType="end"/>
    </w:r>
  </w:p>
  <w:p w:rsidR="003D67A9" w:rsidRDefault="003D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D1" w:rsidRDefault="001961D1">
      <w:r>
        <w:separator/>
      </w:r>
    </w:p>
  </w:footnote>
  <w:footnote w:type="continuationSeparator" w:id="0">
    <w:p w:rsidR="001961D1" w:rsidRDefault="0019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F0B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E5C52"/>
    <w:multiLevelType w:val="hybridMultilevel"/>
    <w:tmpl w:val="5186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58EE"/>
    <w:multiLevelType w:val="hybridMultilevel"/>
    <w:tmpl w:val="F4FA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63FC3"/>
    <w:multiLevelType w:val="hybridMultilevel"/>
    <w:tmpl w:val="C6EE2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097BC4"/>
    <w:multiLevelType w:val="hybridMultilevel"/>
    <w:tmpl w:val="C99033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7BA6F83"/>
    <w:multiLevelType w:val="hybridMultilevel"/>
    <w:tmpl w:val="8E3E8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D2A58"/>
    <w:multiLevelType w:val="hybridMultilevel"/>
    <w:tmpl w:val="604A5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166E"/>
    <w:multiLevelType w:val="hybridMultilevel"/>
    <w:tmpl w:val="E1D66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25C8C"/>
    <w:multiLevelType w:val="hybridMultilevel"/>
    <w:tmpl w:val="5D6A1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157B"/>
    <w:multiLevelType w:val="hybridMultilevel"/>
    <w:tmpl w:val="D050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55112"/>
    <w:multiLevelType w:val="hybridMultilevel"/>
    <w:tmpl w:val="8970F7F6"/>
    <w:lvl w:ilvl="0" w:tplc="2AD213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E3F23"/>
    <w:multiLevelType w:val="hybridMultilevel"/>
    <w:tmpl w:val="A544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F06DA"/>
    <w:multiLevelType w:val="hybridMultilevel"/>
    <w:tmpl w:val="EE4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2"/>
  </w:num>
  <w:num w:numId="6">
    <w:abstractNumId w:val="0"/>
  </w:num>
  <w:num w:numId="7">
    <w:abstractNumId w:val="10"/>
  </w:num>
  <w:num w:numId="8">
    <w:abstractNumId w:val="1"/>
  </w:num>
  <w:num w:numId="9">
    <w:abstractNumId w:val="8"/>
  </w:num>
  <w:num w:numId="10">
    <w:abstractNumId w:val="9"/>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D3"/>
    <w:rsid w:val="00002836"/>
    <w:rsid w:val="0001729A"/>
    <w:rsid w:val="0002467B"/>
    <w:rsid w:val="00044A42"/>
    <w:rsid w:val="00050FA6"/>
    <w:rsid w:val="00050FAA"/>
    <w:rsid w:val="000622BF"/>
    <w:rsid w:val="0007013A"/>
    <w:rsid w:val="000801E4"/>
    <w:rsid w:val="00080EB2"/>
    <w:rsid w:val="00091F92"/>
    <w:rsid w:val="000A02C0"/>
    <w:rsid w:val="000A17AD"/>
    <w:rsid w:val="000A78B3"/>
    <w:rsid w:val="000C2655"/>
    <w:rsid w:val="000D50A6"/>
    <w:rsid w:val="001010E2"/>
    <w:rsid w:val="00145274"/>
    <w:rsid w:val="00175ECB"/>
    <w:rsid w:val="00176792"/>
    <w:rsid w:val="00181DA2"/>
    <w:rsid w:val="00184AB5"/>
    <w:rsid w:val="001961D1"/>
    <w:rsid w:val="001E415F"/>
    <w:rsid w:val="002077C0"/>
    <w:rsid w:val="0021654A"/>
    <w:rsid w:val="00242F12"/>
    <w:rsid w:val="00252F75"/>
    <w:rsid w:val="00265A02"/>
    <w:rsid w:val="00281091"/>
    <w:rsid w:val="00286D91"/>
    <w:rsid w:val="0029727C"/>
    <w:rsid w:val="002B1312"/>
    <w:rsid w:val="002B525B"/>
    <w:rsid w:val="002E1270"/>
    <w:rsid w:val="002E3BA3"/>
    <w:rsid w:val="002F4BC1"/>
    <w:rsid w:val="002F7683"/>
    <w:rsid w:val="00315B25"/>
    <w:rsid w:val="00337EBE"/>
    <w:rsid w:val="0035193B"/>
    <w:rsid w:val="003540F1"/>
    <w:rsid w:val="0037532C"/>
    <w:rsid w:val="00377402"/>
    <w:rsid w:val="003912FC"/>
    <w:rsid w:val="003944FF"/>
    <w:rsid w:val="003A0321"/>
    <w:rsid w:val="003B6DA0"/>
    <w:rsid w:val="003C7A0A"/>
    <w:rsid w:val="003D1E9B"/>
    <w:rsid w:val="003D67A9"/>
    <w:rsid w:val="0041386C"/>
    <w:rsid w:val="00414C99"/>
    <w:rsid w:val="00432D18"/>
    <w:rsid w:val="00440867"/>
    <w:rsid w:val="004B0C4F"/>
    <w:rsid w:val="004C3300"/>
    <w:rsid w:val="004D482B"/>
    <w:rsid w:val="004D4AB3"/>
    <w:rsid w:val="004E224E"/>
    <w:rsid w:val="00512EB0"/>
    <w:rsid w:val="005663EE"/>
    <w:rsid w:val="00590E0C"/>
    <w:rsid w:val="00593408"/>
    <w:rsid w:val="005945B3"/>
    <w:rsid w:val="005A37C1"/>
    <w:rsid w:val="005A3EB8"/>
    <w:rsid w:val="005A74E5"/>
    <w:rsid w:val="005C1BD1"/>
    <w:rsid w:val="005C20B4"/>
    <w:rsid w:val="005F12C7"/>
    <w:rsid w:val="005F57A4"/>
    <w:rsid w:val="00602C48"/>
    <w:rsid w:val="00644DFA"/>
    <w:rsid w:val="00653F27"/>
    <w:rsid w:val="006815AB"/>
    <w:rsid w:val="00694C13"/>
    <w:rsid w:val="006A45F9"/>
    <w:rsid w:val="006C466D"/>
    <w:rsid w:val="006C4AB3"/>
    <w:rsid w:val="006E16ED"/>
    <w:rsid w:val="00706AE7"/>
    <w:rsid w:val="0072033D"/>
    <w:rsid w:val="00724EE1"/>
    <w:rsid w:val="00741228"/>
    <w:rsid w:val="007467EE"/>
    <w:rsid w:val="007471EF"/>
    <w:rsid w:val="00753DEA"/>
    <w:rsid w:val="00766F31"/>
    <w:rsid w:val="007A0BF8"/>
    <w:rsid w:val="007A6D49"/>
    <w:rsid w:val="007B7851"/>
    <w:rsid w:val="007C3DEF"/>
    <w:rsid w:val="00800505"/>
    <w:rsid w:val="0084656D"/>
    <w:rsid w:val="008633C0"/>
    <w:rsid w:val="008915C8"/>
    <w:rsid w:val="00895A2F"/>
    <w:rsid w:val="0089656B"/>
    <w:rsid w:val="008B79AE"/>
    <w:rsid w:val="008E67E7"/>
    <w:rsid w:val="0090353B"/>
    <w:rsid w:val="00903A72"/>
    <w:rsid w:val="00935493"/>
    <w:rsid w:val="009A0F06"/>
    <w:rsid w:val="009A519D"/>
    <w:rsid w:val="009C7BAF"/>
    <w:rsid w:val="009E3494"/>
    <w:rsid w:val="009E6220"/>
    <w:rsid w:val="00A36082"/>
    <w:rsid w:val="00A45EA7"/>
    <w:rsid w:val="00A63493"/>
    <w:rsid w:val="00A82C11"/>
    <w:rsid w:val="00A906F8"/>
    <w:rsid w:val="00A948F5"/>
    <w:rsid w:val="00AB1559"/>
    <w:rsid w:val="00AB245B"/>
    <w:rsid w:val="00AF0226"/>
    <w:rsid w:val="00AF0C48"/>
    <w:rsid w:val="00B1553E"/>
    <w:rsid w:val="00B17803"/>
    <w:rsid w:val="00B30570"/>
    <w:rsid w:val="00B54693"/>
    <w:rsid w:val="00B56EA7"/>
    <w:rsid w:val="00B651BF"/>
    <w:rsid w:val="00B72B0B"/>
    <w:rsid w:val="00B94446"/>
    <w:rsid w:val="00B95503"/>
    <w:rsid w:val="00BA2D3E"/>
    <w:rsid w:val="00BA4A5E"/>
    <w:rsid w:val="00BA6C35"/>
    <w:rsid w:val="00BA76BF"/>
    <w:rsid w:val="00C15E5B"/>
    <w:rsid w:val="00C213FF"/>
    <w:rsid w:val="00C25BF6"/>
    <w:rsid w:val="00C2663C"/>
    <w:rsid w:val="00C3280F"/>
    <w:rsid w:val="00C32B16"/>
    <w:rsid w:val="00C34BBD"/>
    <w:rsid w:val="00C44A11"/>
    <w:rsid w:val="00C4513D"/>
    <w:rsid w:val="00C63CA0"/>
    <w:rsid w:val="00C71496"/>
    <w:rsid w:val="00C76AD3"/>
    <w:rsid w:val="00C82BDC"/>
    <w:rsid w:val="00CC5957"/>
    <w:rsid w:val="00CC705A"/>
    <w:rsid w:val="00CE27D3"/>
    <w:rsid w:val="00D04465"/>
    <w:rsid w:val="00D0478B"/>
    <w:rsid w:val="00D162EE"/>
    <w:rsid w:val="00D26C8B"/>
    <w:rsid w:val="00D65E57"/>
    <w:rsid w:val="00D661E1"/>
    <w:rsid w:val="00D7026B"/>
    <w:rsid w:val="00D77EB8"/>
    <w:rsid w:val="00DB4690"/>
    <w:rsid w:val="00DB6773"/>
    <w:rsid w:val="00DC2B75"/>
    <w:rsid w:val="00DD2A99"/>
    <w:rsid w:val="00DD4E5C"/>
    <w:rsid w:val="00DE087A"/>
    <w:rsid w:val="00DF0760"/>
    <w:rsid w:val="00DF3CFD"/>
    <w:rsid w:val="00E04E95"/>
    <w:rsid w:val="00E270B9"/>
    <w:rsid w:val="00E32131"/>
    <w:rsid w:val="00E37713"/>
    <w:rsid w:val="00E42268"/>
    <w:rsid w:val="00E57C50"/>
    <w:rsid w:val="00E66DCF"/>
    <w:rsid w:val="00EC07B1"/>
    <w:rsid w:val="00EE14F3"/>
    <w:rsid w:val="00EE2DB7"/>
    <w:rsid w:val="00EE33B8"/>
    <w:rsid w:val="00EF5009"/>
    <w:rsid w:val="00F0374C"/>
    <w:rsid w:val="00F14204"/>
    <w:rsid w:val="00F16DD5"/>
    <w:rsid w:val="00F17D91"/>
    <w:rsid w:val="00F36EAB"/>
    <w:rsid w:val="00F47B42"/>
    <w:rsid w:val="00F629B7"/>
    <w:rsid w:val="00F64ED6"/>
    <w:rsid w:val="00F67A2E"/>
    <w:rsid w:val="00F75C3A"/>
    <w:rsid w:val="00F93710"/>
    <w:rsid w:val="00FB2012"/>
    <w:rsid w:val="00FE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38B8C45E-5BBB-4102-BBD8-520AB327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olorfulList-Accent1">
    <w:name w:val="Colorful List Accent 1"/>
    <w:basedOn w:val="Normal"/>
    <w:uiPriority w:val="34"/>
    <w:qFormat/>
    <w:rsid w:val="00F0374C"/>
    <w:pPr>
      <w:ind w:left="720"/>
      <w:contextualSpacing/>
    </w:pPr>
    <w:rPr>
      <w:rFonts w:eastAsia="Calibri"/>
    </w:rPr>
  </w:style>
  <w:style w:type="paragraph" w:styleId="Header">
    <w:name w:val="header"/>
    <w:basedOn w:val="Normal"/>
    <w:link w:val="HeaderChar"/>
    <w:uiPriority w:val="99"/>
    <w:unhideWhenUsed/>
    <w:rsid w:val="00593408"/>
    <w:pPr>
      <w:tabs>
        <w:tab w:val="center" w:pos="4320"/>
        <w:tab w:val="right" w:pos="8640"/>
      </w:tabs>
    </w:pPr>
  </w:style>
  <w:style w:type="character" w:customStyle="1" w:styleId="HeaderChar">
    <w:name w:val="Header Char"/>
    <w:link w:val="Header"/>
    <w:uiPriority w:val="99"/>
    <w:rsid w:val="00593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Week I Wednesday September 1: What Historians Have Done</vt:lpstr>
    </vt:vector>
  </TitlesOfParts>
  <Company>Northeastern Illinois University</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I Wednesday September 1: What Historians Have Done</dc:title>
  <dc:subject/>
  <dc:creator>Fac_Staff</dc:creator>
  <cp:keywords/>
  <cp:lastModifiedBy>Sharon Smith</cp:lastModifiedBy>
  <cp:revision>2</cp:revision>
  <cp:lastPrinted>2014-09-02T14:31:00Z</cp:lastPrinted>
  <dcterms:created xsi:type="dcterms:W3CDTF">2016-09-02T18:15:00Z</dcterms:created>
  <dcterms:modified xsi:type="dcterms:W3CDTF">2016-09-02T18:15:00Z</dcterms:modified>
</cp:coreProperties>
</file>